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AEDD" w14:textId="169FE01A" w:rsidR="0071158D" w:rsidRPr="00735ADB" w:rsidRDefault="009909C3" w:rsidP="008B2428">
      <w:pPr>
        <w:pStyle w:val="paragraph"/>
        <w:spacing w:before="0" w:beforeAutospacing="0" w:after="0" w:afterAutospacing="0"/>
        <w:jc w:val="center"/>
        <w:textAlignment w:val="baseline"/>
        <w:rPr>
          <w:rFonts w:asciiTheme="minorHAnsi" w:hAnsiTheme="minorHAnsi"/>
          <w:sz w:val="22"/>
          <w:szCs w:val="22"/>
        </w:rPr>
      </w:pPr>
      <w:r w:rsidRPr="00735ADB">
        <w:rPr>
          <w:rStyle w:val="normaltextrun"/>
          <w:rFonts w:asciiTheme="minorHAnsi" w:eastAsiaTheme="majorEastAsia" w:hAnsiTheme="minorHAnsi"/>
          <w:b/>
          <w:bCs/>
          <w:sz w:val="22"/>
          <w:szCs w:val="22"/>
          <w:shd w:val="clear" w:color="auto" w:fill="FFFFFF"/>
        </w:rPr>
        <w:t>5</w:t>
      </w:r>
      <w:r w:rsidR="00104800" w:rsidRPr="00735ADB">
        <w:rPr>
          <w:rStyle w:val="normaltextrun"/>
          <w:rFonts w:asciiTheme="minorHAnsi" w:eastAsiaTheme="majorEastAsia" w:hAnsiTheme="minorHAnsi"/>
          <w:b/>
          <w:bCs/>
          <w:sz w:val="22"/>
          <w:szCs w:val="22"/>
          <w:shd w:val="clear" w:color="auto" w:fill="FFFFFF"/>
        </w:rPr>
        <w:t>th</w:t>
      </w:r>
      <w:r w:rsidR="0071158D" w:rsidRPr="00735ADB">
        <w:rPr>
          <w:rStyle w:val="normaltextrun"/>
          <w:rFonts w:asciiTheme="minorHAnsi" w:eastAsiaTheme="majorEastAsia" w:hAnsiTheme="minorHAnsi"/>
          <w:b/>
          <w:bCs/>
          <w:sz w:val="22"/>
          <w:szCs w:val="22"/>
          <w:shd w:val="clear" w:color="auto" w:fill="FFFFFF"/>
        </w:rPr>
        <w:t xml:space="preserve"> Weather Ready Pacific Steering Committee Meeting</w:t>
      </w:r>
      <w:r w:rsidR="0071158D" w:rsidRPr="00735ADB">
        <w:rPr>
          <w:rStyle w:val="eop"/>
          <w:rFonts w:asciiTheme="minorHAnsi" w:eastAsiaTheme="majorEastAsia" w:hAnsiTheme="minorHAnsi"/>
          <w:sz w:val="22"/>
          <w:szCs w:val="22"/>
        </w:rPr>
        <w:t> </w:t>
      </w:r>
    </w:p>
    <w:p w14:paraId="69A7FC4B" w14:textId="4A2CAAAE" w:rsidR="0071158D" w:rsidRPr="00735ADB" w:rsidRDefault="009909C3" w:rsidP="008B2428">
      <w:pPr>
        <w:pStyle w:val="paragraph"/>
        <w:spacing w:before="0" w:beforeAutospacing="0" w:after="0" w:afterAutospacing="0"/>
        <w:jc w:val="center"/>
        <w:textAlignment w:val="baseline"/>
        <w:rPr>
          <w:rFonts w:asciiTheme="minorHAnsi" w:hAnsiTheme="minorHAnsi"/>
          <w:sz w:val="22"/>
          <w:szCs w:val="22"/>
        </w:rPr>
      </w:pPr>
      <w:proofErr w:type="spellStart"/>
      <w:r w:rsidRPr="00735ADB">
        <w:rPr>
          <w:rStyle w:val="normaltextrun"/>
          <w:rFonts w:asciiTheme="minorHAnsi" w:eastAsiaTheme="majorEastAsia" w:hAnsiTheme="minorHAnsi"/>
          <w:sz w:val="22"/>
          <w:szCs w:val="22"/>
          <w:shd w:val="clear" w:color="auto" w:fill="FFFFFF"/>
        </w:rPr>
        <w:t>Nuku’alofo</w:t>
      </w:r>
      <w:proofErr w:type="spellEnd"/>
      <w:r w:rsidR="0071158D" w:rsidRPr="00735ADB">
        <w:rPr>
          <w:rStyle w:val="normaltextrun"/>
          <w:rFonts w:asciiTheme="minorHAnsi" w:eastAsiaTheme="majorEastAsia" w:hAnsiTheme="minorHAnsi"/>
          <w:sz w:val="22"/>
          <w:szCs w:val="22"/>
          <w:shd w:val="clear" w:color="auto" w:fill="FFFFFF"/>
        </w:rPr>
        <w:t xml:space="preserve">, </w:t>
      </w:r>
      <w:r w:rsidRPr="00735ADB">
        <w:rPr>
          <w:rStyle w:val="normaltextrun"/>
          <w:rFonts w:asciiTheme="minorHAnsi" w:eastAsiaTheme="majorEastAsia" w:hAnsiTheme="minorHAnsi"/>
          <w:sz w:val="22"/>
          <w:szCs w:val="22"/>
          <w:shd w:val="clear" w:color="auto" w:fill="FFFFFF"/>
        </w:rPr>
        <w:t>Tonga</w:t>
      </w:r>
    </w:p>
    <w:p w14:paraId="6C86C94C" w14:textId="24F701DA" w:rsidR="0071158D" w:rsidRPr="00735ADB" w:rsidRDefault="00344826" w:rsidP="008B2428">
      <w:pPr>
        <w:pStyle w:val="paragraph"/>
        <w:spacing w:before="0" w:beforeAutospacing="0" w:after="0" w:afterAutospacing="0"/>
        <w:jc w:val="center"/>
        <w:textAlignment w:val="baseline"/>
        <w:rPr>
          <w:rFonts w:asciiTheme="minorHAnsi" w:hAnsiTheme="minorHAnsi"/>
          <w:sz w:val="22"/>
          <w:szCs w:val="22"/>
          <w:lang w:val="en-US"/>
        </w:rPr>
      </w:pPr>
      <w:r w:rsidRPr="00735ADB">
        <w:rPr>
          <w:rStyle w:val="normaltextrun"/>
          <w:rFonts w:asciiTheme="minorHAnsi" w:eastAsiaTheme="majorEastAsia" w:hAnsiTheme="minorHAnsi"/>
          <w:sz w:val="22"/>
          <w:szCs w:val="22"/>
          <w:shd w:val="clear" w:color="auto" w:fill="FFFFFF"/>
        </w:rPr>
        <w:t>15</w:t>
      </w:r>
      <w:r w:rsidR="009D7ED9" w:rsidRPr="00735ADB">
        <w:rPr>
          <w:rStyle w:val="normaltextrun"/>
          <w:rFonts w:asciiTheme="minorHAnsi" w:eastAsiaTheme="majorEastAsia" w:hAnsiTheme="minorHAnsi"/>
          <w:sz w:val="22"/>
          <w:szCs w:val="22"/>
          <w:shd w:val="clear" w:color="auto" w:fill="FFFFFF"/>
        </w:rPr>
        <w:t xml:space="preserve"> </w:t>
      </w:r>
      <w:r w:rsidRPr="00735ADB">
        <w:rPr>
          <w:rStyle w:val="normaltextrun"/>
          <w:rFonts w:asciiTheme="minorHAnsi" w:eastAsiaTheme="majorEastAsia" w:hAnsiTheme="minorHAnsi"/>
          <w:sz w:val="22"/>
          <w:szCs w:val="22"/>
          <w:shd w:val="clear" w:color="auto" w:fill="FFFFFF"/>
        </w:rPr>
        <w:t xml:space="preserve">September </w:t>
      </w:r>
      <w:r w:rsidR="0071158D" w:rsidRPr="00735ADB">
        <w:rPr>
          <w:rStyle w:val="normaltextrun"/>
          <w:rFonts w:asciiTheme="minorHAnsi" w:eastAsiaTheme="majorEastAsia" w:hAnsiTheme="minorHAnsi"/>
          <w:sz w:val="22"/>
          <w:szCs w:val="22"/>
          <w:shd w:val="clear" w:color="auto" w:fill="FFFFFF"/>
        </w:rPr>
        <w:t>202</w:t>
      </w:r>
      <w:r w:rsidR="009D7ED9" w:rsidRPr="00735ADB">
        <w:rPr>
          <w:rStyle w:val="normaltextrun"/>
          <w:rFonts w:asciiTheme="minorHAnsi" w:eastAsiaTheme="majorEastAsia" w:hAnsiTheme="minorHAnsi"/>
          <w:sz w:val="22"/>
          <w:szCs w:val="22"/>
          <w:shd w:val="clear" w:color="auto" w:fill="FFFFFF"/>
        </w:rPr>
        <w:t>6</w:t>
      </w:r>
      <w:r w:rsidR="0071158D" w:rsidRPr="00735ADB">
        <w:rPr>
          <w:rStyle w:val="eop"/>
          <w:rFonts w:asciiTheme="minorHAnsi" w:eastAsiaTheme="majorEastAsia" w:hAnsiTheme="minorHAnsi"/>
          <w:sz w:val="22"/>
          <w:szCs w:val="22"/>
        </w:rPr>
        <w:t> </w:t>
      </w:r>
    </w:p>
    <w:p w14:paraId="1D6A2BCE" w14:textId="77777777" w:rsidR="0071158D" w:rsidRPr="00735ADB" w:rsidRDefault="0071158D" w:rsidP="008B2428">
      <w:pPr>
        <w:pStyle w:val="paragraph"/>
        <w:spacing w:before="0" w:beforeAutospacing="0" w:after="0" w:afterAutospacing="0"/>
        <w:jc w:val="center"/>
        <w:textAlignment w:val="baseline"/>
        <w:rPr>
          <w:rStyle w:val="normaltextrun"/>
          <w:rFonts w:asciiTheme="minorHAnsi" w:eastAsiaTheme="majorEastAsia" w:hAnsiTheme="minorHAnsi"/>
          <w:b/>
          <w:bCs/>
          <w:sz w:val="22"/>
          <w:szCs w:val="22"/>
          <w:shd w:val="clear" w:color="auto" w:fill="FFFFFF"/>
        </w:rPr>
      </w:pPr>
    </w:p>
    <w:p w14:paraId="115AC900" w14:textId="414AD732" w:rsidR="00F37771" w:rsidRPr="00735ADB" w:rsidRDefault="0071158D" w:rsidP="008B2428">
      <w:pPr>
        <w:pStyle w:val="paragraph"/>
        <w:spacing w:before="0" w:beforeAutospacing="0" w:after="0" w:afterAutospacing="0"/>
        <w:jc w:val="center"/>
        <w:textAlignment w:val="baseline"/>
        <w:rPr>
          <w:rFonts w:asciiTheme="minorHAnsi" w:eastAsiaTheme="majorEastAsia" w:hAnsiTheme="minorHAnsi"/>
          <w:b/>
          <w:bCs/>
          <w:sz w:val="22"/>
          <w:szCs w:val="22"/>
        </w:rPr>
      </w:pPr>
      <w:r w:rsidRPr="00735ADB">
        <w:rPr>
          <w:rStyle w:val="normaltextrun"/>
          <w:rFonts w:asciiTheme="minorHAnsi" w:eastAsiaTheme="majorEastAsia" w:hAnsiTheme="minorHAnsi"/>
          <w:b/>
          <w:bCs/>
          <w:sz w:val="22"/>
          <w:szCs w:val="22"/>
          <w:shd w:val="clear" w:color="auto" w:fill="FFFFFF"/>
        </w:rPr>
        <w:t>Agenda Item</w:t>
      </w:r>
      <w:r w:rsidR="008B2428" w:rsidRPr="00735ADB">
        <w:rPr>
          <w:rStyle w:val="normaltextrun"/>
          <w:rFonts w:asciiTheme="minorHAnsi" w:eastAsiaTheme="majorEastAsia" w:hAnsiTheme="minorHAnsi"/>
          <w:b/>
          <w:bCs/>
          <w:sz w:val="22"/>
          <w:szCs w:val="22"/>
          <w:shd w:val="clear" w:color="auto" w:fill="FFFFFF"/>
        </w:rPr>
        <w:t>:</w:t>
      </w:r>
      <w:r w:rsidRPr="00735ADB">
        <w:rPr>
          <w:rStyle w:val="normaltextrun"/>
          <w:rFonts w:asciiTheme="minorHAnsi" w:eastAsiaTheme="majorEastAsia" w:hAnsiTheme="minorHAnsi"/>
          <w:b/>
          <w:bCs/>
          <w:sz w:val="22"/>
          <w:szCs w:val="22"/>
          <w:shd w:val="clear" w:color="auto" w:fill="FFFFFF"/>
        </w:rPr>
        <w:t xml:space="preserve"> </w:t>
      </w:r>
      <w:r w:rsidR="008B2428" w:rsidRPr="00735ADB">
        <w:rPr>
          <w:rFonts w:asciiTheme="minorHAnsi" w:hAnsiTheme="minorHAnsi"/>
          <w:b/>
          <w:bCs/>
          <w:sz w:val="22"/>
          <w:szCs w:val="22"/>
        </w:rPr>
        <w:t>5.1 Jan-Jun 2026 Report</w:t>
      </w:r>
    </w:p>
    <w:p w14:paraId="260A9059" w14:textId="77777777" w:rsidR="00F37771" w:rsidRPr="00735ADB" w:rsidRDefault="00F37771" w:rsidP="008B2428">
      <w:pPr>
        <w:pStyle w:val="paragraph"/>
        <w:spacing w:before="0" w:beforeAutospacing="0" w:after="0" w:afterAutospacing="0"/>
        <w:jc w:val="center"/>
        <w:textAlignment w:val="baseline"/>
        <w:rPr>
          <w:rFonts w:asciiTheme="minorHAnsi" w:hAnsiTheme="minorHAnsi"/>
          <w:sz w:val="22"/>
          <w:szCs w:val="22"/>
        </w:rPr>
      </w:pPr>
    </w:p>
    <w:p w14:paraId="29616271" w14:textId="0D1F3D4E" w:rsidR="0071158D" w:rsidRPr="00735ADB" w:rsidRDefault="0071158D" w:rsidP="008B2428">
      <w:pPr>
        <w:pStyle w:val="paragraph"/>
        <w:spacing w:before="0" w:beforeAutospacing="0" w:after="0" w:afterAutospacing="0"/>
        <w:jc w:val="both"/>
        <w:textAlignment w:val="baseline"/>
        <w:rPr>
          <w:rStyle w:val="eop"/>
          <w:rFonts w:asciiTheme="minorHAnsi" w:eastAsiaTheme="majorEastAsia" w:hAnsiTheme="minorHAnsi"/>
          <w:sz w:val="22"/>
          <w:szCs w:val="22"/>
        </w:rPr>
      </w:pPr>
      <w:r w:rsidRPr="00735ADB">
        <w:rPr>
          <w:rStyle w:val="normaltextrun"/>
          <w:rFonts w:asciiTheme="minorHAnsi" w:eastAsiaTheme="majorEastAsia" w:hAnsiTheme="minorHAnsi"/>
          <w:b/>
          <w:bCs/>
          <w:sz w:val="22"/>
          <w:szCs w:val="22"/>
          <w:shd w:val="clear" w:color="auto" w:fill="FFFFFF"/>
        </w:rPr>
        <w:t>Purpose</w:t>
      </w:r>
      <w:r w:rsidRPr="00735ADB">
        <w:rPr>
          <w:rStyle w:val="eop"/>
          <w:rFonts w:asciiTheme="minorHAnsi" w:eastAsiaTheme="majorEastAsia" w:hAnsiTheme="minorHAnsi"/>
          <w:sz w:val="22"/>
          <w:szCs w:val="22"/>
        </w:rPr>
        <w:t> </w:t>
      </w:r>
    </w:p>
    <w:p w14:paraId="71E6B8F2" w14:textId="77777777" w:rsidR="00E623E5" w:rsidRPr="00735ADB" w:rsidRDefault="00E623E5" w:rsidP="008B2428">
      <w:pPr>
        <w:pStyle w:val="paragraph"/>
        <w:spacing w:before="0" w:beforeAutospacing="0" w:after="0" w:afterAutospacing="0"/>
        <w:jc w:val="both"/>
        <w:textAlignment w:val="baseline"/>
        <w:rPr>
          <w:rFonts w:asciiTheme="minorHAnsi" w:hAnsiTheme="minorHAnsi"/>
          <w:sz w:val="22"/>
          <w:szCs w:val="22"/>
        </w:rPr>
      </w:pPr>
    </w:p>
    <w:p w14:paraId="6FCAE16D" w14:textId="0F302A67" w:rsidR="008B2428" w:rsidRPr="00735ADB" w:rsidRDefault="008B2428" w:rsidP="00E623E5">
      <w:pPr>
        <w:pStyle w:val="paragraph"/>
        <w:numPr>
          <w:ilvl w:val="0"/>
          <w:numId w:val="31"/>
        </w:numPr>
        <w:spacing w:before="0" w:beforeAutospacing="0" w:after="0" w:afterAutospacing="0"/>
        <w:jc w:val="both"/>
        <w:textAlignment w:val="baseline"/>
        <w:rPr>
          <w:rFonts w:asciiTheme="minorHAnsi" w:eastAsia="Calibri" w:hAnsiTheme="minorHAnsi" w:cs="Calibri"/>
          <w:kern w:val="2"/>
          <w:sz w:val="22"/>
          <w:szCs w:val="22"/>
          <w14:ligatures w14:val="standardContextual"/>
        </w:rPr>
      </w:pPr>
      <w:r w:rsidRPr="00735ADB">
        <w:rPr>
          <w:rFonts w:asciiTheme="minorHAnsi" w:eastAsia="Calibri" w:hAnsiTheme="minorHAnsi" w:cs="Calibri"/>
          <w:kern w:val="2"/>
          <w:sz w:val="22"/>
          <w:szCs w:val="22"/>
          <w14:ligatures w14:val="standardContextual"/>
        </w:rPr>
        <w:t xml:space="preserve">This paper summarises the </w:t>
      </w:r>
      <w:r w:rsidRPr="00735ADB">
        <w:rPr>
          <w:rFonts w:asciiTheme="minorHAnsi" w:eastAsia="Calibri" w:hAnsiTheme="minorHAnsi" w:cs="Calibri"/>
          <w:kern w:val="2"/>
          <w:sz w:val="22"/>
          <w:szCs w:val="22"/>
          <w14:ligatures w14:val="standardContextual"/>
        </w:rPr>
        <w:t>WRP</w:t>
      </w:r>
      <w:r w:rsidRPr="00735ADB">
        <w:rPr>
          <w:rFonts w:asciiTheme="minorHAnsi" w:eastAsia="Calibri" w:hAnsiTheme="minorHAnsi" w:cs="Calibri"/>
          <w:kern w:val="2"/>
          <w:sz w:val="22"/>
          <w:szCs w:val="22"/>
          <w14:ligatures w14:val="standardContextual"/>
        </w:rPr>
        <w:t xml:space="preserve"> Six-Monthly Programme Report for 1 January to 30 June 2026 and invites the meeting to note and endorse it. The full report — including the detailed Key Result Area chapters, the Value for Money assessment, the financial statements, the risk register and the consolidated MERL register — is provided separately and should be read for the underlying detail, evidence and caveats. This paper does not repeat that detail; it draws out what matters most for the meeting's attention.</w:t>
      </w:r>
    </w:p>
    <w:p w14:paraId="3D8E2C26" w14:textId="77777777" w:rsidR="008B2428" w:rsidRPr="00735ADB" w:rsidRDefault="008B2428" w:rsidP="008B2428">
      <w:pPr>
        <w:pStyle w:val="paragraph"/>
        <w:spacing w:before="0" w:beforeAutospacing="0" w:after="0" w:afterAutospacing="0"/>
        <w:jc w:val="both"/>
        <w:textAlignment w:val="baseline"/>
        <w:rPr>
          <w:rFonts w:asciiTheme="minorHAnsi" w:eastAsia="Calibri" w:hAnsiTheme="minorHAnsi" w:cs="Calibri"/>
          <w:kern w:val="2"/>
          <w:sz w:val="22"/>
          <w:szCs w:val="22"/>
          <w14:ligatures w14:val="standardContextual"/>
        </w:rPr>
      </w:pPr>
    </w:p>
    <w:p w14:paraId="1F3FA42B" w14:textId="55371785" w:rsidR="0071158D" w:rsidRPr="00735ADB" w:rsidRDefault="0071158D" w:rsidP="008B2428">
      <w:pPr>
        <w:pStyle w:val="paragraph"/>
        <w:spacing w:before="0" w:beforeAutospacing="0" w:after="0" w:afterAutospacing="0"/>
        <w:jc w:val="both"/>
        <w:textAlignment w:val="baseline"/>
        <w:rPr>
          <w:rStyle w:val="eop"/>
          <w:rFonts w:asciiTheme="minorHAnsi" w:eastAsiaTheme="majorEastAsia" w:hAnsiTheme="minorHAnsi"/>
          <w:sz w:val="22"/>
          <w:szCs w:val="22"/>
        </w:rPr>
      </w:pPr>
      <w:r w:rsidRPr="00735ADB">
        <w:rPr>
          <w:rStyle w:val="normaltextrun"/>
          <w:rFonts w:asciiTheme="minorHAnsi" w:eastAsiaTheme="majorEastAsia" w:hAnsiTheme="minorHAnsi"/>
          <w:b/>
          <w:bCs/>
          <w:sz w:val="22"/>
          <w:szCs w:val="22"/>
          <w:shd w:val="clear" w:color="auto" w:fill="FFFFFF"/>
        </w:rPr>
        <w:t>Background</w:t>
      </w:r>
      <w:r w:rsidRPr="00735ADB">
        <w:rPr>
          <w:rStyle w:val="eop"/>
          <w:rFonts w:asciiTheme="minorHAnsi" w:eastAsiaTheme="majorEastAsia" w:hAnsiTheme="minorHAnsi"/>
          <w:sz w:val="22"/>
          <w:szCs w:val="22"/>
        </w:rPr>
        <w:t> </w:t>
      </w:r>
    </w:p>
    <w:p w14:paraId="19981573" w14:textId="77777777" w:rsidR="00E623E5" w:rsidRPr="00735ADB" w:rsidRDefault="00E623E5" w:rsidP="008B2428">
      <w:pPr>
        <w:pStyle w:val="paragraph"/>
        <w:spacing w:before="0" w:beforeAutospacing="0" w:after="0" w:afterAutospacing="0"/>
        <w:jc w:val="both"/>
        <w:textAlignment w:val="baseline"/>
        <w:rPr>
          <w:rFonts w:asciiTheme="minorHAnsi" w:hAnsiTheme="minorHAnsi"/>
          <w:sz w:val="22"/>
          <w:szCs w:val="22"/>
        </w:rPr>
      </w:pPr>
    </w:p>
    <w:p w14:paraId="78079DBF" w14:textId="77777777" w:rsidR="008B2428" w:rsidRPr="00735ADB" w:rsidRDefault="008B2428" w:rsidP="00E623E5">
      <w:pPr>
        <w:pStyle w:val="paragraph"/>
        <w:numPr>
          <w:ilvl w:val="0"/>
          <w:numId w:val="27"/>
        </w:numPr>
        <w:spacing w:before="0" w:beforeAutospacing="0" w:after="0" w:afterAutospacing="0"/>
        <w:jc w:val="both"/>
        <w:textAlignment w:val="baseline"/>
        <w:rPr>
          <w:rFonts w:asciiTheme="minorHAnsi" w:eastAsia="Calibri" w:hAnsiTheme="minorHAnsi" w:cs="Calibri"/>
          <w:kern w:val="2"/>
          <w:sz w:val="22"/>
          <w:szCs w:val="22"/>
          <w14:ligatures w14:val="standardContextual"/>
        </w:rPr>
      </w:pPr>
      <w:r w:rsidRPr="00735ADB">
        <w:rPr>
          <w:rFonts w:asciiTheme="minorHAnsi" w:eastAsia="Calibri" w:hAnsiTheme="minorHAnsi" w:cs="Calibri"/>
          <w:kern w:val="2"/>
          <w:sz w:val="22"/>
          <w:szCs w:val="22"/>
          <w14:ligatures w14:val="standardContextual"/>
        </w:rPr>
        <w:t xml:space="preserve">Overall programme status:  AMBER, IMPROVING   </w:t>
      </w:r>
      <w:proofErr w:type="gramStart"/>
      <w:r w:rsidRPr="00735ADB">
        <w:rPr>
          <w:rFonts w:asciiTheme="minorHAnsi" w:eastAsia="Calibri" w:hAnsiTheme="minorHAnsi" w:cs="Calibri"/>
          <w:kern w:val="2"/>
          <w:sz w:val="22"/>
          <w:szCs w:val="22"/>
          <w14:ligatures w14:val="standardContextual"/>
        </w:rPr>
        <w:t>—  an</w:t>
      </w:r>
      <w:proofErr w:type="gramEnd"/>
      <w:r w:rsidRPr="00735ADB">
        <w:rPr>
          <w:rFonts w:asciiTheme="minorHAnsi" w:eastAsia="Calibri" w:hAnsiTheme="minorHAnsi" w:cs="Calibri"/>
          <w:kern w:val="2"/>
          <w:sz w:val="22"/>
          <w:szCs w:val="22"/>
          <w14:ligatures w14:val="standardContextual"/>
        </w:rPr>
        <w:t xml:space="preserve"> improvement on the Amber rating of the FY2025 Annual Report.</w:t>
      </w:r>
    </w:p>
    <w:p w14:paraId="5BAED0EB" w14:textId="77777777" w:rsidR="00E623E5" w:rsidRPr="00735ADB" w:rsidRDefault="00E623E5" w:rsidP="00E623E5">
      <w:pPr>
        <w:pStyle w:val="paragraph"/>
        <w:spacing w:before="0" w:beforeAutospacing="0" w:after="0" w:afterAutospacing="0"/>
        <w:jc w:val="both"/>
        <w:textAlignment w:val="baseline"/>
        <w:rPr>
          <w:rFonts w:asciiTheme="minorHAnsi" w:eastAsia="Calibri" w:hAnsiTheme="minorHAnsi" w:cs="Calibri"/>
          <w:kern w:val="2"/>
          <w:sz w:val="22"/>
          <w:szCs w:val="22"/>
          <w14:ligatures w14:val="standardContextual"/>
        </w:rPr>
      </w:pPr>
    </w:p>
    <w:p w14:paraId="3520B166" w14:textId="5B1038B5" w:rsidR="0071158D" w:rsidRPr="00735ADB" w:rsidRDefault="008B2428" w:rsidP="00E623E5">
      <w:pPr>
        <w:pStyle w:val="paragraph"/>
        <w:spacing w:before="0" w:beforeAutospacing="0" w:after="0" w:afterAutospacing="0"/>
        <w:jc w:val="both"/>
        <w:textAlignment w:val="baseline"/>
        <w:rPr>
          <w:rFonts w:asciiTheme="minorHAnsi" w:eastAsia="Calibri" w:hAnsiTheme="minorHAnsi" w:cs="Calibri"/>
          <w:kern w:val="2"/>
          <w:sz w:val="22"/>
          <w:szCs w:val="22"/>
          <w14:ligatures w14:val="standardContextual"/>
        </w:rPr>
      </w:pPr>
      <w:r w:rsidRPr="00735ADB">
        <w:rPr>
          <w:rFonts w:asciiTheme="minorHAnsi" w:eastAsia="Calibri" w:hAnsiTheme="minorHAnsi" w:cs="Calibri"/>
          <w:kern w:val="2"/>
          <w:sz w:val="22"/>
          <w:szCs w:val="22"/>
          <w14:ligatures w14:val="standardContextual"/>
        </w:rPr>
        <w:t>The first half of 2026 was a period of steady progress in which the programme moved from establishment into early implementation. Foundational strategies were formally adopted, the first capability gains were recorded and measured, and delivery reached communities in some of the region's most remote locations. The rating is deliberately not Green: the evidence of change remains early and concentrated in a small number of activities, outcome-level effects are not yet observable, and the most demanding delivery work — warning communication and the integrated forecasting platform — still lies ahead.</w:t>
      </w:r>
      <w:r w:rsidR="00E623E5" w:rsidRPr="00735ADB">
        <w:rPr>
          <w:rFonts w:asciiTheme="minorHAnsi" w:eastAsia="Calibri" w:hAnsiTheme="minorHAnsi" w:cs="Calibri"/>
          <w:kern w:val="2"/>
          <w:sz w:val="22"/>
          <w:szCs w:val="22"/>
          <w14:ligatures w14:val="standardContextual"/>
        </w:rPr>
        <w:t xml:space="preserve"> </w:t>
      </w:r>
      <w:r w:rsidRPr="00735ADB">
        <w:rPr>
          <w:rFonts w:asciiTheme="minorHAnsi" w:eastAsia="Calibri" w:hAnsiTheme="minorHAnsi" w:cs="Calibri"/>
          <w:kern w:val="2"/>
          <w:sz w:val="22"/>
          <w:szCs w:val="22"/>
          <w14:ligatures w14:val="standardContextual"/>
        </w:rPr>
        <w:t>Consistent with the report's approach, this paper states the programme's challenges and gaps with the same candour as its achievements.</w:t>
      </w:r>
    </w:p>
    <w:p w14:paraId="424DD177" w14:textId="1672BE50" w:rsidR="00C26C37" w:rsidRPr="00735ADB" w:rsidRDefault="00C26C37" w:rsidP="00C26C37">
      <w:pPr>
        <w:pStyle w:val="paragraph"/>
        <w:jc w:val="both"/>
        <w:textAlignment w:val="baseline"/>
        <w:rPr>
          <w:rStyle w:val="normaltextrun"/>
          <w:rFonts w:asciiTheme="minorHAnsi" w:eastAsiaTheme="majorEastAsia" w:hAnsiTheme="minorHAnsi"/>
          <w:b/>
          <w:bCs/>
          <w:sz w:val="22"/>
          <w:szCs w:val="22"/>
        </w:rPr>
      </w:pPr>
      <w:r w:rsidRPr="00735ADB">
        <w:rPr>
          <w:rStyle w:val="normaltextrun"/>
          <w:rFonts w:asciiTheme="minorHAnsi" w:eastAsiaTheme="majorEastAsia" w:hAnsiTheme="minorHAnsi"/>
          <w:b/>
          <w:bCs/>
          <w:sz w:val="22"/>
          <w:szCs w:val="22"/>
        </w:rPr>
        <w:t>Key achievements this period</w:t>
      </w:r>
    </w:p>
    <w:p w14:paraId="3E699A6C" w14:textId="0E0B83F2" w:rsidR="00C26C37" w:rsidRPr="00735ADB" w:rsidRDefault="00C26C37" w:rsidP="00E623E5">
      <w:pPr>
        <w:pStyle w:val="paragraph"/>
        <w:numPr>
          <w:ilvl w:val="0"/>
          <w:numId w:val="27"/>
        </w:numPr>
        <w:spacing w:before="0" w:beforeAutospacing="0" w:after="0" w:afterAutospacing="0"/>
        <w:jc w:val="both"/>
        <w:textAlignment w:val="baseline"/>
        <w:rPr>
          <w:rStyle w:val="normaltextrun"/>
          <w:rFonts w:asciiTheme="minorHAnsi" w:eastAsiaTheme="majorEastAsia" w:hAnsiTheme="minorHAnsi"/>
          <w:sz w:val="22"/>
          <w:szCs w:val="22"/>
        </w:rPr>
      </w:pPr>
      <w:r w:rsidRPr="00735ADB">
        <w:rPr>
          <w:rStyle w:val="normaltextrun"/>
          <w:rFonts w:asciiTheme="minorHAnsi" w:eastAsiaTheme="majorEastAsia" w:hAnsiTheme="minorHAnsi"/>
          <w:sz w:val="22"/>
          <w:szCs w:val="22"/>
        </w:rPr>
        <w:t>Governance and strategy foundations locked in. The GEDSI Strategy 2025–2033 was</w:t>
      </w:r>
      <w:r w:rsidRPr="00735ADB">
        <w:rPr>
          <w:rStyle w:val="normaltextrun"/>
          <w:rFonts w:asciiTheme="minorHAnsi" w:eastAsiaTheme="majorEastAsia" w:hAnsiTheme="minorHAnsi"/>
          <w:b/>
          <w:bCs/>
          <w:sz w:val="22"/>
          <w:szCs w:val="22"/>
        </w:rPr>
        <w:t xml:space="preserve"> </w:t>
      </w:r>
      <w:r w:rsidRPr="00735ADB">
        <w:rPr>
          <w:rStyle w:val="normaltextrun"/>
          <w:rFonts w:asciiTheme="minorHAnsi" w:eastAsiaTheme="majorEastAsia" w:hAnsiTheme="minorHAnsi"/>
          <w:sz w:val="22"/>
          <w:szCs w:val="22"/>
        </w:rPr>
        <w:t>launched (14 March) and the Operations Manual's GEDSI chapters endorsed (2 June). Steering Committee 4 (Honiara, 29 May – 2 June) adopted the Pacific Regional Observation Strategy, the Radar Strategy, the Standards and Procurement Guidelines, and the Communications and Engagement Strategy 2026–2033. The PMU reached eight of its nine target positions.</w:t>
      </w:r>
    </w:p>
    <w:p w14:paraId="7455F30E" w14:textId="06D44709" w:rsidR="00C26C37" w:rsidRPr="00735ADB" w:rsidRDefault="00C26C37" w:rsidP="00E623E5">
      <w:pPr>
        <w:pStyle w:val="paragraph"/>
        <w:numPr>
          <w:ilvl w:val="0"/>
          <w:numId w:val="27"/>
        </w:numPr>
        <w:spacing w:before="0" w:beforeAutospacing="0" w:after="0" w:afterAutospacing="0"/>
        <w:jc w:val="both"/>
        <w:textAlignment w:val="baseline"/>
        <w:rPr>
          <w:rStyle w:val="normaltextrun"/>
          <w:rFonts w:asciiTheme="minorHAnsi" w:eastAsiaTheme="majorEastAsia" w:hAnsiTheme="minorHAnsi"/>
          <w:sz w:val="22"/>
          <w:szCs w:val="22"/>
        </w:rPr>
      </w:pPr>
      <w:r w:rsidRPr="00735ADB">
        <w:rPr>
          <w:rStyle w:val="normaltextrun"/>
          <w:rFonts w:asciiTheme="minorHAnsi" w:eastAsiaTheme="majorEastAsia" w:hAnsiTheme="minorHAnsi"/>
          <w:sz w:val="22"/>
          <w:szCs w:val="22"/>
        </w:rPr>
        <w:t>First measured capability gains. The Common Alerting Protocol programme trained 90 forecasters and officials across five countries; against matched pre- and post-training data, knowledge rose from 63% to 85% and confidence from 51% to 81%, with the largest gains where baselines were lowest (Kiribati +47% / +97%). This is an output-level result based on a single cohort.</w:t>
      </w:r>
    </w:p>
    <w:p w14:paraId="205A476A" w14:textId="12BB10B8" w:rsidR="00C26C37" w:rsidRPr="00735ADB" w:rsidRDefault="00C26C37" w:rsidP="00E623E5">
      <w:pPr>
        <w:pStyle w:val="paragraph"/>
        <w:numPr>
          <w:ilvl w:val="0"/>
          <w:numId w:val="27"/>
        </w:numPr>
        <w:spacing w:before="0" w:beforeAutospacing="0" w:after="0" w:afterAutospacing="0"/>
        <w:jc w:val="both"/>
        <w:textAlignment w:val="baseline"/>
        <w:rPr>
          <w:rStyle w:val="normaltextrun"/>
          <w:rFonts w:asciiTheme="minorHAnsi" w:eastAsiaTheme="majorEastAsia" w:hAnsiTheme="minorHAnsi"/>
          <w:sz w:val="22"/>
          <w:szCs w:val="22"/>
        </w:rPr>
      </w:pPr>
      <w:r w:rsidRPr="00735ADB">
        <w:rPr>
          <w:rStyle w:val="normaltextrun"/>
          <w:rFonts w:asciiTheme="minorHAnsi" w:eastAsiaTheme="majorEastAsia" w:hAnsiTheme="minorHAnsi"/>
          <w:sz w:val="22"/>
          <w:szCs w:val="22"/>
        </w:rPr>
        <w:t xml:space="preserve">Delivery reached the hardest-to-reach places. Four coastal sensors were deployed across Tokelau's three atolls; the Tonga radar was maintained at 100% uptime; the Integrated Forecasting Platform advanced to a validated, build-ready design; SPC's hydrological diagnostic was applied across 13 countries against an original scope of three; and the COPE community-education series was translated into </w:t>
      </w:r>
      <w:proofErr w:type="spellStart"/>
      <w:r w:rsidRPr="00735ADB">
        <w:rPr>
          <w:rStyle w:val="normaltextrun"/>
          <w:rFonts w:asciiTheme="minorHAnsi" w:eastAsiaTheme="majorEastAsia" w:hAnsiTheme="minorHAnsi"/>
          <w:sz w:val="22"/>
          <w:szCs w:val="22"/>
        </w:rPr>
        <w:t>Vagahau</w:t>
      </w:r>
      <w:proofErr w:type="spellEnd"/>
      <w:r w:rsidRPr="00735ADB">
        <w:rPr>
          <w:rStyle w:val="normaltextrun"/>
          <w:rFonts w:asciiTheme="minorHAnsi" w:eastAsiaTheme="majorEastAsia" w:hAnsiTheme="minorHAnsi"/>
          <w:sz w:val="22"/>
          <w:szCs w:val="22"/>
        </w:rPr>
        <w:t xml:space="preserve"> Niue and Gagana FakaTokelau.</w:t>
      </w:r>
    </w:p>
    <w:p w14:paraId="0F77539F" w14:textId="32699FEC" w:rsidR="00C26C37" w:rsidRPr="00735ADB" w:rsidRDefault="00C26C37" w:rsidP="00E623E5">
      <w:pPr>
        <w:pStyle w:val="paragraph"/>
        <w:numPr>
          <w:ilvl w:val="0"/>
          <w:numId w:val="27"/>
        </w:numPr>
        <w:spacing w:before="0" w:beforeAutospacing="0" w:after="0" w:afterAutospacing="0"/>
        <w:jc w:val="both"/>
        <w:textAlignment w:val="baseline"/>
        <w:rPr>
          <w:rStyle w:val="normaltextrun"/>
          <w:rFonts w:asciiTheme="minorHAnsi" w:eastAsiaTheme="majorEastAsia" w:hAnsiTheme="minorHAnsi"/>
          <w:b/>
          <w:bCs/>
          <w:sz w:val="22"/>
          <w:szCs w:val="22"/>
        </w:rPr>
      </w:pPr>
      <w:r w:rsidRPr="00735ADB">
        <w:rPr>
          <w:rStyle w:val="normaltextrun"/>
          <w:rFonts w:asciiTheme="minorHAnsi" w:eastAsiaTheme="majorEastAsia" w:hAnsiTheme="minorHAnsi"/>
          <w:sz w:val="22"/>
          <w:szCs w:val="22"/>
        </w:rPr>
        <w:lastRenderedPageBreak/>
        <w:t>The MERL framework is in operational use. The framework moved into operational use this period — externally noted by the Donor Committee Chair — with progress reported against 90 implementation indicators across KRAs 1–5.</w:t>
      </w:r>
    </w:p>
    <w:p w14:paraId="2390AE96" w14:textId="77777777" w:rsidR="00E623E5" w:rsidRPr="00735ADB" w:rsidRDefault="00E623E5" w:rsidP="00E623E5">
      <w:pPr>
        <w:pStyle w:val="paragraph"/>
        <w:spacing w:before="0" w:beforeAutospacing="0" w:after="0" w:afterAutospacing="0"/>
        <w:ind w:left="720"/>
        <w:jc w:val="both"/>
        <w:textAlignment w:val="baseline"/>
        <w:rPr>
          <w:rStyle w:val="normaltextrun"/>
          <w:rFonts w:asciiTheme="minorHAnsi" w:eastAsiaTheme="majorEastAsia" w:hAnsiTheme="minorHAnsi"/>
          <w:b/>
          <w:bCs/>
          <w:sz w:val="22"/>
          <w:szCs w:val="22"/>
        </w:rPr>
      </w:pPr>
    </w:p>
    <w:p w14:paraId="7F2BB75A" w14:textId="5D65BBE8" w:rsidR="00C26C37" w:rsidRPr="00735ADB" w:rsidRDefault="00C26C37" w:rsidP="00E623E5">
      <w:pPr>
        <w:spacing w:after="0"/>
        <w:rPr>
          <w:rFonts w:asciiTheme="minorHAnsi" w:hAnsiTheme="minorHAnsi"/>
          <w:b/>
          <w:bCs/>
        </w:rPr>
      </w:pPr>
      <w:r w:rsidRPr="00735ADB">
        <w:rPr>
          <w:rFonts w:asciiTheme="minorHAnsi" w:hAnsiTheme="minorHAnsi"/>
          <w:b/>
          <w:bCs/>
        </w:rPr>
        <w:t>Progress by Key Result Area</w:t>
      </w:r>
    </w:p>
    <w:p w14:paraId="4B2604B6" w14:textId="77777777" w:rsidR="00C26C37" w:rsidRPr="00735ADB" w:rsidRDefault="00C26C37" w:rsidP="00E623E5">
      <w:pPr>
        <w:spacing w:after="0" w:line="276" w:lineRule="auto"/>
        <w:jc w:val="both"/>
        <w:rPr>
          <w:rFonts w:asciiTheme="minorHAnsi" w:hAnsiTheme="minorHAnsi"/>
          <w:color w:val="auto"/>
          <w:szCs w:val="22"/>
        </w:rPr>
      </w:pPr>
      <w:r w:rsidRPr="00735ADB">
        <w:rPr>
          <w:rFonts w:asciiTheme="minorHAnsi" w:hAnsiTheme="minorHAnsi"/>
          <w:i/>
          <w:iCs/>
          <w:color w:val="auto"/>
          <w:szCs w:val="22"/>
        </w:rPr>
        <w:t>The programme reports across six Key Result Areas. A one-line status summary follows; full chapters, indicators and activity tables are in the report.</w:t>
      </w:r>
    </w:p>
    <w:tbl>
      <w:tblPr>
        <w:tblW w:w="9072" w:type="dxa"/>
        <w:tblBorders>
          <w:top w:val="single" w:sz="4" w:space="0" w:color="D5DEE3"/>
          <w:left w:val="none" w:sz="0" w:space="0" w:color="FFFFFF"/>
          <w:bottom w:val="single" w:sz="4" w:space="0" w:color="D5DEE3"/>
          <w:right w:val="none" w:sz="0" w:space="0" w:color="FFFFFF"/>
          <w:insideH w:val="single" w:sz="4" w:space="0" w:color="D5DEE3"/>
          <w:insideV w:val="none" w:sz="0" w:space="0" w:color="FFFFFF"/>
        </w:tblBorders>
        <w:tblLayout w:type="fixed"/>
        <w:tblCellMar>
          <w:left w:w="10" w:type="dxa"/>
          <w:right w:w="10" w:type="dxa"/>
        </w:tblCellMar>
        <w:tblLook w:val="0000" w:firstRow="0" w:lastRow="0" w:firstColumn="0" w:lastColumn="0" w:noHBand="0" w:noVBand="0"/>
      </w:tblPr>
      <w:tblGrid>
        <w:gridCol w:w="900"/>
        <w:gridCol w:w="2502"/>
        <w:gridCol w:w="1560"/>
        <w:gridCol w:w="4110"/>
      </w:tblGrid>
      <w:tr w:rsidR="00C26C37" w:rsidRPr="00735ADB" w14:paraId="1F769C8C" w14:textId="77777777" w:rsidTr="00E623E5">
        <w:tblPrEx>
          <w:tblCellMar>
            <w:top w:w="0" w:type="dxa"/>
            <w:bottom w:w="0" w:type="dxa"/>
          </w:tblCellMar>
        </w:tblPrEx>
        <w:trPr>
          <w:trHeight w:val="15"/>
          <w:tblHeader/>
        </w:trPr>
        <w:tc>
          <w:tcPr>
            <w:tcW w:w="900" w:type="dxa"/>
            <w:shd w:val="clear" w:color="auto" w:fill="12658C"/>
            <w:tcMar>
              <w:top w:w="60" w:type="dxa"/>
              <w:left w:w="110" w:type="dxa"/>
              <w:bottom w:w="60" w:type="dxa"/>
              <w:right w:w="110" w:type="dxa"/>
            </w:tcMar>
          </w:tcPr>
          <w:p w14:paraId="0C8F8E44" w14:textId="77777777" w:rsidR="00C26C37" w:rsidRPr="00735ADB" w:rsidRDefault="00C26C37" w:rsidP="00C26C37">
            <w:pPr>
              <w:spacing w:after="0" w:line="264" w:lineRule="auto"/>
              <w:rPr>
                <w:rFonts w:asciiTheme="minorHAnsi" w:hAnsiTheme="minorHAnsi"/>
                <w:color w:val="FFFFFF" w:themeColor="background1"/>
                <w:sz w:val="20"/>
                <w:szCs w:val="20"/>
              </w:rPr>
            </w:pPr>
            <w:r w:rsidRPr="00735ADB">
              <w:rPr>
                <w:rFonts w:asciiTheme="minorHAnsi" w:hAnsiTheme="minorHAnsi"/>
                <w:b/>
                <w:bCs/>
                <w:color w:val="FFFFFF" w:themeColor="background1"/>
                <w:sz w:val="20"/>
                <w:szCs w:val="20"/>
              </w:rPr>
              <w:t>KRA</w:t>
            </w:r>
          </w:p>
        </w:tc>
        <w:tc>
          <w:tcPr>
            <w:tcW w:w="2502" w:type="dxa"/>
            <w:shd w:val="clear" w:color="auto" w:fill="12658C"/>
            <w:tcMar>
              <w:top w:w="60" w:type="dxa"/>
              <w:left w:w="110" w:type="dxa"/>
              <w:bottom w:w="60" w:type="dxa"/>
              <w:right w:w="110" w:type="dxa"/>
            </w:tcMar>
          </w:tcPr>
          <w:p w14:paraId="7A517980" w14:textId="77777777" w:rsidR="00C26C37" w:rsidRPr="00735ADB" w:rsidRDefault="00C26C37" w:rsidP="00C26C37">
            <w:pPr>
              <w:spacing w:after="0" w:line="264" w:lineRule="auto"/>
              <w:rPr>
                <w:rFonts w:asciiTheme="minorHAnsi" w:hAnsiTheme="minorHAnsi"/>
                <w:color w:val="FFFFFF" w:themeColor="background1"/>
                <w:sz w:val="20"/>
                <w:szCs w:val="20"/>
              </w:rPr>
            </w:pPr>
            <w:r w:rsidRPr="00735ADB">
              <w:rPr>
                <w:rFonts w:asciiTheme="minorHAnsi" w:hAnsiTheme="minorHAnsi"/>
                <w:b/>
                <w:bCs/>
                <w:color w:val="FFFFFF" w:themeColor="background1"/>
                <w:sz w:val="20"/>
                <w:szCs w:val="20"/>
              </w:rPr>
              <w:t>Area</w:t>
            </w:r>
          </w:p>
        </w:tc>
        <w:tc>
          <w:tcPr>
            <w:tcW w:w="1560" w:type="dxa"/>
            <w:shd w:val="clear" w:color="auto" w:fill="12658C"/>
            <w:tcMar>
              <w:top w:w="60" w:type="dxa"/>
              <w:left w:w="110" w:type="dxa"/>
              <w:bottom w:w="60" w:type="dxa"/>
              <w:right w:w="110" w:type="dxa"/>
            </w:tcMar>
          </w:tcPr>
          <w:p w14:paraId="22AF298D" w14:textId="77777777" w:rsidR="00C26C37" w:rsidRPr="00735ADB" w:rsidRDefault="00C26C37" w:rsidP="00C26C37">
            <w:pPr>
              <w:spacing w:after="0" w:line="264" w:lineRule="auto"/>
              <w:rPr>
                <w:rFonts w:asciiTheme="minorHAnsi" w:hAnsiTheme="minorHAnsi"/>
                <w:color w:val="FFFFFF" w:themeColor="background1"/>
                <w:sz w:val="20"/>
                <w:szCs w:val="20"/>
              </w:rPr>
            </w:pPr>
            <w:r w:rsidRPr="00735ADB">
              <w:rPr>
                <w:rFonts w:asciiTheme="minorHAnsi" w:hAnsiTheme="minorHAnsi"/>
                <w:b/>
                <w:bCs/>
                <w:color w:val="FFFFFF" w:themeColor="background1"/>
                <w:sz w:val="20"/>
                <w:szCs w:val="20"/>
              </w:rPr>
              <w:t>Status</w:t>
            </w:r>
          </w:p>
        </w:tc>
        <w:tc>
          <w:tcPr>
            <w:tcW w:w="4110" w:type="dxa"/>
            <w:shd w:val="clear" w:color="auto" w:fill="12658C"/>
            <w:tcMar>
              <w:top w:w="60" w:type="dxa"/>
              <w:left w:w="110" w:type="dxa"/>
              <w:bottom w:w="60" w:type="dxa"/>
              <w:right w:w="110" w:type="dxa"/>
            </w:tcMar>
          </w:tcPr>
          <w:p w14:paraId="34D9B80D" w14:textId="77777777" w:rsidR="00C26C37" w:rsidRPr="00735ADB" w:rsidRDefault="00C26C37" w:rsidP="00C26C37">
            <w:pPr>
              <w:spacing w:after="0" w:line="264" w:lineRule="auto"/>
              <w:rPr>
                <w:rFonts w:asciiTheme="minorHAnsi" w:hAnsiTheme="minorHAnsi"/>
                <w:color w:val="FFFFFF" w:themeColor="background1"/>
                <w:sz w:val="20"/>
                <w:szCs w:val="20"/>
              </w:rPr>
            </w:pPr>
            <w:r w:rsidRPr="00735ADB">
              <w:rPr>
                <w:rFonts w:asciiTheme="minorHAnsi" w:hAnsiTheme="minorHAnsi"/>
                <w:b/>
                <w:bCs/>
                <w:color w:val="FFFFFF" w:themeColor="background1"/>
                <w:sz w:val="20"/>
                <w:szCs w:val="20"/>
              </w:rPr>
              <w:t>Headline this period</w:t>
            </w:r>
          </w:p>
        </w:tc>
      </w:tr>
      <w:tr w:rsidR="00C26C37" w:rsidRPr="00735ADB" w14:paraId="462E1754" w14:textId="77777777" w:rsidTr="00E623E5">
        <w:tblPrEx>
          <w:tblCellMar>
            <w:top w:w="0" w:type="dxa"/>
            <w:bottom w:w="0" w:type="dxa"/>
          </w:tblCellMar>
        </w:tblPrEx>
        <w:tc>
          <w:tcPr>
            <w:tcW w:w="900" w:type="dxa"/>
            <w:shd w:val="clear" w:color="auto" w:fill="FFFFFF"/>
            <w:tcMar>
              <w:top w:w="60" w:type="dxa"/>
              <w:left w:w="110" w:type="dxa"/>
              <w:bottom w:w="60" w:type="dxa"/>
              <w:right w:w="110" w:type="dxa"/>
            </w:tcMar>
          </w:tcPr>
          <w:p w14:paraId="246067D3"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1</w:t>
            </w:r>
          </w:p>
        </w:tc>
        <w:tc>
          <w:tcPr>
            <w:tcW w:w="2502" w:type="dxa"/>
            <w:shd w:val="clear" w:color="auto" w:fill="FFFFFF"/>
            <w:tcMar>
              <w:top w:w="60" w:type="dxa"/>
              <w:left w:w="110" w:type="dxa"/>
              <w:bottom w:w="60" w:type="dxa"/>
              <w:right w:w="110" w:type="dxa"/>
            </w:tcMar>
          </w:tcPr>
          <w:p w14:paraId="217BCFA3"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Governance, Management &amp; Coordination</w:t>
            </w:r>
          </w:p>
        </w:tc>
        <w:tc>
          <w:tcPr>
            <w:tcW w:w="1560" w:type="dxa"/>
            <w:shd w:val="clear" w:color="auto" w:fill="FFFFFF"/>
            <w:tcMar>
              <w:top w:w="60" w:type="dxa"/>
              <w:left w:w="110" w:type="dxa"/>
              <w:bottom w:w="60" w:type="dxa"/>
              <w:right w:w="110" w:type="dxa"/>
            </w:tcMar>
          </w:tcPr>
          <w:p w14:paraId="25D96CB8"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Amber, improving</w:t>
            </w:r>
          </w:p>
        </w:tc>
        <w:tc>
          <w:tcPr>
            <w:tcW w:w="4110" w:type="dxa"/>
            <w:shd w:val="clear" w:color="auto" w:fill="FFFFFF"/>
            <w:tcMar>
              <w:top w:w="60" w:type="dxa"/>
              <w:left w:w="110" w:type="dxa"/>
              <w:bottom w:w="60" w:type="dxa"/>
              <w:right w:w="110" w:type="dxa"/>
            </w:tcMar>
          </w:tcPr>
          <w:p w14:paraId="212C93C8"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GEDSI Strategy launched; SC4 adopted a full slate of instruments; PMU at 8 of 9 posts.</w:t>
            </w:r>
          </w:p>
        </w:tc>
      </w:tr>
      <w:tr w:rsidR="00C26C37" w:rsidRPr="00735ADB" w14:paraId="13D1B023" w14:textId="77777777" w:rsidTr="00E623E5">
        <w:tblPrEx>
          <w:tblCellMar>
            <w:top w:w="0" w:type="dxa"/>
            <w:bottom w:w="0" w:type="dxa"/>
          </w:tblCellMar>
        </w:tblPrEx>
        <w:tc>
          <w:tcPr>
            <w:tcW w:w="900" w:type="dxa"/>
            <w:shd w:val="clear" w:color="auto" w:fill="F4F8FA"/>
            <w:tcMar>
              <w:top w:w="60" w:type="dxa"/>
              <w:left w:w="110" w:type="dxa"/>
              <w:bottom w:w="60" w:type="dxa"/>
              <w:right w:w="110" w:type="dxa"/>
            </w:tcMar>
          </w:tcPr>
          <w:p w14:paraId="7141C9C7"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2</w:t>
            </w:r>
          </w:p>
        </w:tc>
        <w:tc>
          <w:tcPr>
            <w:tcW w:w="2502" w:type="dxa"/>
            <w:shd w:val="clear" w:color="auto" w:fill="F4F8FA"/>
            <w:tcMar>
              <w:top w:w="60" w:type="dxa"/>
              <w:left w:w="110" w:type="dxa"/>
              <w:bottom w:w="60" w:type="dxa"/>
              <w:right w:w="110" w:type="dxa"/>
            </w:tcMar>
          </w:tcPr>
          <w:p w14:paraId="03E6D673"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People Capability</w:t>
            </w:r>
          </w:p>
        </w:tc>
        <w:tc>
          <w:tcPr>
            <w:tcW w:w="1560" w:type="dxa"/>
            <w:shd w:val="clear" w:color="auto" w:fill="F4F8FA"/>
            <w:tcMar>
              <w:top w:w="60" w:type="dxa"/>
              <w:left w:w="110" w:type="dxa"/>
              <w:bottom w:w="60" w:type="dxa"/>
              <w:right w:w="110" w:type="dxa"/>
            </w:tcMar>
          </w:tcPr>
          <w:p w14:paraId="49BDB6B2" w14:textId="77777777" w:rsidR="00C26C37" w:rsidRPr="00735ADB" w:rsidRDefault="00C26C37" w:rsidP="00C26C37">
            <w:pPr>
              <w:spacing w:after="0" w:line="264" w:lineRule="auto"/>
              <w:rPr>
                <w:rFonts w:asciiTheme="minorHAnsi" w:hAnsiTheme="minorHAnsi"/>
                <w:color w:val="auto"/>
                <w:sz w:val="20"/>
                <w:szCs w:val="20"/>
              </w:rPr>
            </w:pPr>
            <w:proofErr w:type="gramStart"/>
            <w:r w:rsidRPr="00735ADB">
              <w:rPr>
                <w:rFonts w:asciiTheme="minorHAnsi" w:hAnsiTheme="minorHAnsi"/>
                <w:color w:val="auto"/>
                <w:sz w:val="20"/>
                <w:szCs w:val="20"/>
              </w:rPr>
              <w:t>Amber–Green</w:t>
            </w:r>
            <w:proofErr w:type="gramEnd"/>
          </w:p>
        </w:tc>
        <w:tc>
          <w:tcPr>
            <w:tcW w:w="4110" w:type="dxa"/>
            <w:shd w:val="clear" w:color="auto" w:fill="F4F8FA"/>
            <w:tcMar>
              <w:top w:w="60" w:type="dxa"/>
              <w:left w:w="110" w:type="dxa"/>
              <w:bottom w:w="60" w:type="dxa"/>
              <w:right w:w="110" w:type="dxa"/>
            </w:tcMar>
          </w:tcPr>
          <w:p w14:paraId="0E1697FE"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CAP across 5 countries (90 trained): knowledge 63%→85%, confidence 51%→81%.</w:t>
            </w:r>
          </w:p>
        </w:tc>
      </w:tr>
      <w:tr w:rsidR="00C26C37" w:rsidRPr="00735ADB" w14:paraId="5873F8F0" w14:textId="77777777" w:rsidTr="00E623E5">
        <w:tblPrEx>
          <w:tblCellMar>
            <w:top w:w="0" w:type="dxa"/>
            <w:bottom w:w="0" w:type="dxa"/>
          </w:tblCellMar>
        </w:tblPrEx>
        <w:tc>
          <w:tcPr>
            <w:tcW w:w="900" w:type="dxa"/>
            <w:shd w:val="clear" w:color="auto" w:fill="FFFFFF"/>
            <w:tcMar>
              <w:top w:w="60" w:type="dxa"/>
              <w:left w:w="110" w:type="dxa"/>
              <w:bottom w:w="60" w:type="dxa"/>
              <w:right w:w="110" w:type="dxa"/>
            </w:tcMar>
          </w:tcPr>
          <w:p w14:paraId="6E5EDF6A"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3</w:t>
            </w:r>
          </w:p>
        </w:tc>
        <w:tc>
          <w:tcPr>
            <w:tcW w:w="2502" w:type="dxa"/>
            <w:shd w:val="clear" w:color="auto" w:fill="FFFFFF"/>
            <w:tcMar>
              <w:top w:w="60" w:type="dxa"/>
              <w:left w:w="110" w:type="dxa"/>
              <w:bottom w:w="60" w:type="dxa"/>
              <w:right w:w="110" w:type="dxa"/>
            </w:tcMar>
          </w:tcPr>
          <w:p w14:paraId="48ADE842"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Observation Network Infrastructure</w:t>
            </w:r>
          </w:p>
        </w:tc>
        <w:tc>
          <w:tcPr>
            <w:tcW w:w="1560" w:type="dxa"/>
            <w:shd w:val="clear" w:color="auto" w:fill="FFFFFF"/>
            <w:tcMar>
              <w:top w:w="60" w:type="dxa"/>
              <w:left w:w="110" w:type="dxa"/>
              <w:bottom w:w="60" w:type="dxa"/>
              <w:right w:w="110" w:type="dxa"/>
            </w:tcMar>
          </w:tcPr>
          <w:p w14:paraId="52B40477"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Amber, improving</w:t>
            </w:r>
          </w:p>
        </w:tc>
        <w:tc>
          <w:tcPr>
            <w:tcW w:w="4110" w:type="dxa"/>
            <w:shd w:val="clear" w:color="auto" w:fill="FFFFFF"/>
            <w:tcMar>
              <w:top w:w="60" w:type="dxa"/>
              <w:left w:w="110" w:type="dxa"/>
              <w:bottom w:w="60" w:type="dxa"/>
              <w:right w:w="110" w:type="dxa"/>
            </w:tcMar>
          </w:tcPr>
          <w:p w14:paraId="5F1C36ED"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Observation &amp; Radar strategies adopted; 4 Tokelau sensors; Tonga radar 100% uptime.</w:t>
            </w:r>
          </w:p>
        </w:tc>
      </w:tr>
      <w:tr w:rsidR="00C26C37" w:rsidRPr="00735ADB" w14:paraId="392C67D3" w14:textId="77777777" w:rsidTr="00E623E5">
        <w:tblPrEx>
          <w:tblCellMar>
            <w:top w:w="0" w:type="dxa"/>
            <w:bottom w:w="0" w:type="dxa"/>
          </w:tblCellMar>
        </w:tblPrEx>
        <w:tc>
          <w:tcPr>
            <w:tcW w:w="900" w:type="dxa"/>
            <w:shd w:val="clear" w:color="auto" w:fill="F4F8FA"/>
            <w:tcMar>
              <w:top w:w="60" w:type="dxa"/>
              <w:left w:w="110" w:type="dxa"/>
              <w:bottom w:w="60" w:type="dxa"/>
              <w:right w:w="110" w:type="dxa"/>
            </w:tcMar>
          </w:tcPr>
          <w:p w14:paraId="7421FD08"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4</w:t>
            </w:r>
          </w:p>
        </w:tc>
        <w:tc>
          <w:tcPr>
            <w:tcW w:w="2502" w:type="dxa"/>
            <w:shd w:val="clear" w:color="auto" w:fill="F4F8FA"/>
            <w:tcMar>
              <w:top w:w="60" w:type="dxa"/>
              <w:left w:w="110" w:type="dxa"/>
              <w:bottom w:w="60" w:type="dxa"/>
              <w:right w:w="110" w:type="dxa"/>
            </w:tcMar>
          </w:tcPr>
          <w:p w14:paraId="56F500AF"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Forecast &amp; Warning Production</w:t>
            </w:r>
          </w:p>
        </w:tc>
        <w:tc>
          <w:tcPr>
            <w:tcW w:w="1560" w:type="dxa"/>
            <w:shd w:val="clear" w:color="auto" w:fill="F4F8FA"/>
            <w:tcMar>
              <w:top w:w="60" w:type="dxa"/>
              <w:left w:w="110" w:type="dxa"/>
              <w:bottom w:w="60" w:type="dxa"/>
              <w:right w:w="110" w:type="dxa"/>
            </w:tcMar>
          </w:tcPr>
          <w:p w14:paraId="10281F41"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Amber</w:t>
            </w:r>
          </w:p>
        </w:tc>
        <w:tc>
          <w:tcPr>
            <w:tcW w:w="4110" w:type="dxa"/>
            <w:shd w:val="clear" w:color="auto" w:fill="F4F8FA"/>
            <w:tcMar>
              <w:top w:w="60" w:type="dxa"/>
              <w:left w:w="110" w:type="dxa"/>
              <w:bottom w:w="60" w:type="dxa"/>
              <w:right w:w="110" w:type="dxa"/>
            </w:tcMar>
          </w:tcPr>
          <w:p w14:paraId="6E43C6BE"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IFP advanced to build-ready design; hydrology diagnostic applied across 13 countries.</w:t>
            </w:r>
          </w:p>
        </w:tc>
      </w:tr>
      <w:tr w:rsidR="00C26C37" w:rsidRPr="00735ADB" w14:paraId="7111E040" w14:textId="77777777" w:rsidTr="00E623E5">
        <w:tblPrEx>
          <w:tblCellMar>
            <w:top w:w="0" w:type="dxa"/>
            <w:bottom w:w="0" w:type="dxa"/>
          </w:tblCellMar>
        </w:tblPrEx>
        <w:tc>
          <w:tcPr>
            <w:tcW w:w="900" w:type="dxa"/>
            <w:shd w:val="clear" w:color="auto" w:fill="FFFFFF"/>
            <w:tcMar>
              <w:top w:w="60" w:type="dxa"/>
              <w:left w:w="110" w:type="dxa"/>
              <w:bottom w:w="60" w:type="dxa"/>
              <w:right w:w="110" w:type="dxa"/>
            </w:tcMar>
          </w:tcPr>
          <w:p w14:paraId="7797ECC8"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5</w:t>
            </w:r>
          </w:p>
        </w:tc>
        <w:tc>
          <w:tcPr>
            <w:tcW w:w="2502" w:type="dxa"/>
            <w:shd w:val="clear" w:color="auto" w:fill="FFFFFF"/>
            <w:tcMar>
              <w:top w:w="60" w:type="dxa"/>
              <w:left w:w="110" w:type="dxa"/>
              <w:bottom w:w="60" w:type="dxa"/>
              <w:right w:w="110" w:type="dxa"/>
            </w:tcMar>
          </w:tcPr>
          <w:p w14:paraId="1A639A69"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Communication &amp; Delivery to End Users</w:t>
            </w:r>
          </w:p>
        </w:tc>
        <w:tc>
          <w:tcPr>
            <w:tcW w:w="1560" w:type="dxa"/>
            <w:shd w:val="clear" w:color="auto" w:fill="FFFFFF"/>
            <w:tcMar>
              <w:top w:w="60" w:type="dxa"/>
              <w:left w:w="110" w:type="dxa"/>
              <w:bottom w:w="60" w:type="dxa"/>
              <w:right w:w="110" w:type="dxa"/>
            </w:tcMar>
          </w:tcPr>
          <w:p w14:paraId="7A277B64"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Amber</w:t>
            </w:r>
          </w:p>
        </w:tc>
        <w:tc>
          <w:tcPr>
            <w:tcW w:w="4110" w:type="dxa"/>
            <w:shd w:val="clear" w:color="auto" w:fill="FFFFFF"/>
            <w:tcMar>
              <w:top w:w="60" w:type="dxa"/>
              <w:left w:w="110" w:type="dxa"/>
              <w:bottom w:w="60" w:type="dxa"/>
              <w:right w:w="110" w:type="dxa"/>
            </w:tcMar>
          </w:tcPr>
          <w:p w14:paraId="57B5B5F2"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CAP operational in 5 countries; COPE series in two Pacific languages; Comms Strategy endorsed.</w:t>
            </w:r>
          </w:p>
        </w:tc>
      </w:tr>
      <w:tr w:rsidR="00C26C37" w:rsidRPr="00735ADB" w14:paraId="4140C437" w14:textId="77777777" w:rsidTr="00E623E5">
        <w:tblPrEx>
          <w:tblCellMar>
            <w:top w:w="0" w:type="dxa"/>
            <w:bottom w:w="0" w:type="dxa"/>
          </w:tblCellMar>
        </w:tblPrEx>
        <w:tc>
          <w:tcPr>
            <w:tcW w:w="900" w:type="dxa"/>
            <w:shd w:val="clear" w:color="auto" w:fill="F4F8FA"/>
            <w:tcMar>
              <w:top w:w="60" w:type="dxa"/>
              <w:left w:w="110" w:type="dxa"/>
              <w:bottom w:w="60" w:type="dxa"/>
              <w:right w:w="110" w:type="dxa"/>
            </w:tcMar>
          </w:tcPr>
          <w:p w14:paraId="55D4E133"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6</w:t>
            </w:r>
          </w:p>
        </w:tc>
        <w:tc>
          <w:tcPr>
            <w:tcW w:w="2502" w:type="dxa"/>
            <w:shd w:val="clear" w:color="auto" w:fill="F4F8FA"/>
            <w:tcMar>
              <w:top w:w="60" w:type="dxa"/>
              <w:left w:w="110" w:type="dxa"/>
              <w:bottom w:w="60" w:type="dxa"/>
              <w:right w:w="110" w:type="dxa"/>
            </w:tcMar>
          </w:tcPr>
          <w:p w14:paraId="62D0355F"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Risk Information &amp; Preparedness</w:t>
            </w:r>
          </w:p>
        </w:tc>
        <w:tc>
          <w:tcPr>
            <w:tcW w:w="1560" w:type="dxa"/>
            <w:shd w:val="clear" w:color="auto" w:fill="F4F8FA"/>
            <w:tcMar>
              <w:top w:w="60" w:type="dxa"/>
              <w:left w:w="110" w:type="dxa"/>
              <w:bottom w:w="60" w:type="dxa"/>
              <w:right w:w="110" w:type="dxa"/>
            </w:tcMar>
          </w:tcPr>
          <w:p w14:paraId="689C612A"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Pending</w:t>
            </w:r>
          </w:p>
        </w:tc>
        <w:tc>
          <w:tcPr>
            <w:tcW w:w="4110" w:type="dxa"/>
            <w:shd w:val="clear" w:color="auto" w:fill="F4F8FA"/>
            <w:tcMar>
              <w:top w:w="60" w:type="dxa"/>
              <w:left w:w="110" w:type="dxa"/>
              <w:bottom w:w="60" w:type="dxa"/>
              <w:right w:w="110" w:type="dxa"/>
            </w:tcMar>
          </w:tcPr>
          <w:p w14:paraId="5248786D" w14:textId="77777777" w:rsidR="00C26C37" w:rsidRPr="00735ADB" w:rsidRDefault="00C26C37" w:rsidP="00C26C37">
            <w:pPr>
              <w:spacing w:after="0" w:line="264" w:lineRule="auto"/>
              <w:rPr>
                <w:rFonts w:asciiTheme="minorHAnsi" w:hAnsiTheme="minorHAnsi"/>
                <w:color w:val="auto"/>
                <w:sz w:val="20"/>
                <w:szCs w:val="20"/>
              </w:rPr>
            </w:pPr>
            <w:r w:rsidRPr="00735ADB">
              <w:rPr>
                <w:rFonts w:asciiTheme="minorHAnsi" w:hAnsiTheme="minorHAnsi"/>
                <w:color w:val="auto"/>
                <w:sz w:val="20"/>
                <w:szCs w:val="20"/>
              </w:rPr>
              <w:t>Not yet stood up, by design — activation tied to the Decadal Investment Plan.</w:t>
            </w:r>
          </w:p>
        </w:tc>
      </w:tr>
    </w:tbl>
    <w:p w14:paraId="6CB44AEB" w14:textId="77777777" w:rsidR="00C26C37" w:rsidRPr="00735ADB" w:rsidRDefault="00C26C37" w:rsidP="00C26C37">
      <w:pPr>
        <w:spacing w:after="0"/>
        <w:rPr>
          <w:rFonts w:asciiTheme="minorHAnsi" w:hAnsiTheme="minorHAnsi"/>
          <w:color w:val="auto"/>
          <w:szCs w:val="22"/>
        </w:rPr>
      </w:pPr>
    </w:p>
    <w:p w14:paraId="5BAB0A83" w14:textId="20A1BFCF" w:rsidR="00C26C37" w:rsidRPr="00735ADB" w:rsidRDefault="00C26C37" w:rsidP="00E623E5">
      <w:pPr>
        <w:spacing w:after="0"/>
        <w:rPr>
          <w:rFonts w:asciiTheme="minorHAnsi" w:hAnsiTheme="minorHAnsi"/>
          <w:b/>
          <w:bCs/>
        </w:rPr>
      </w:pPr>
      <w:r w:rsidRPr="00735ADB">
        <w:rPr>
          <w:rFonts w:asciiTheme="minorHAnsi" w:hAnsiTheme="minorHAnsi"/>
          <w:b/>
          <w:bCs/>
        </w:rPr>
        <w:t>Challenges and matters under management</w:t>
      </w:r>
    </w:p>
    <w:p w14:paraId="01F2E6AB" w14:textId="77777777" w:rsidR="00C26C37" w:rsidRPr="00735ADB" w:rsidRDefault="00C26C37" w:rsidP="00C26C37">
      <w:pPr>
        <w:spacing w:after="0" w:line="276" w:lineRule="auto"/>
        <w:rPr>
          <w:rFonts w:asciiTheme="minorHAnsi" w:hAnsiTheme="minorHAnsi"/>
          <w:color w:val="auto"/>
          <w:szCs w:val="22"/>
        </w:rPr>
      </w:pPr>
    </w:p>
    <w:p w14:paraId="4BBF2838" w14:textId="78481FA5" w:rsidR="00C26C37" w:rsidRPr="00735ADB" w:rsidRDefault="00C26C37" w:rsidP="00C26C37">
      <w:pPr>
        <w:spacing w:after="0" w:line="276" w:lineRule="auto"/>
        <w:rPr>
          <w:rFonts w:asciiTheme="minorHAnsi" w:hAnsiTheme="minorHAnsi"/>
          <w:color w:val="auto"/>
          <w:szCs w:val="22"/>
        </w:rPr>
      </w:pPr>
      <w:r w:rsidRPr="00735ADB">
        <w:rPr>
          <w:rFonts w:asciiTheme="minorHAnsi" w:hAnsiTheme="minorHAnsi"/>
          <w:color w:val="auto"/>
          <w:szCs w:val="22"/>
        </w:rPr>
        <w:t>Several delivery risks are under active management and are reported plainly in the full report:</w:t>
      </w:r>
    </w:p>
    <w:p w14:paraId="3043D079" w14:textId="77777777" w:rsidR="00C26C37" w:rsidRPr="00735ADB" w:rsidRDefault="00C26C37" w:rsidP="00C26C37">
      <w:pPr>
        <w:spacing w:after="0" w:line="276" w:lineRule="auto"/>
        <w:rPr>
          <w:rFonts w:asciiTheme="minorHAnsi" w:hAnsiTheme="minorHAnsi"/>
          <w:color w:val="auto"/>
          <w:szCs w:val="22"/>
        </w:rPr>
      </w:pPr>
    </w:p>
    <w:p w14:paraId="7F76C402" w14:textId="77777777" w:rsidR="00C26C37" w:rsidRPr="00735ADB" w:rsidRDefault="00C26C37" w:rsidP="00E623E5">
      <w:pPr>
        <w:pStyle w:val="ListParagraph"/>
        <w:numPr>
          <w:ilvl w:val="0"/>
          <w:numId w:val="29"/>
        </w:numPr>
        <w:spacing w:after="0" w:line="272" w:lineRule="auto"/>
        <w:ind w:left="709" w:hanging="425"/>
        <w:contextualSpacing w:val="0"/>
        <w:jc w:val="both"/>
        <w:rPr>
          <w:rFonts w:asciiTheme="minorHAnsi" w:hAnsiTheme="minorHAnsi"/>
          <w:color w:val="auto"/>
          <w:szCs w:val="22"/>
        </w:rPr>
      </w:pPr>
      <w:r w:rsidRPr="00735ADB">
        <w:rPr>
          <w:rFonts w:asciiTheme="minorHAnsi" w:hAnsiTheme="minorHAnsi"/>
          <w:b/>
          <w:bCs/>
          <w:color w:val="auto"/>
          <w:szCs w:val="22"/>
        </w:rPr>
        <w:t xml:space="preserve">IFP build </w:t>
      </w:r>
      <w:r w:rsidRPr="00735ADB">
        <w:rPr>
          <w:rFonts w:asciiTheme="minorHAnsi" w:hAnsiTheme="minorHAnsi"/>
          <w:color w:val="auto"/>
          <w:szCs w:val="22"/>
        </w:rPr>
        <w:t>carries an Amber outlook, dependent on Bureau Visual Weather specialist availability, with a risk that Phase 1 extends beyond December 2026.</w:t>
      </w:r>
    </w:p>
    <w:p w14:paraId="0A4A6E80" w14:textId="77777777" w:rsidR="00C26C37" w:rsidRPr="00735ADB" w:rsidRDefault="00C26C37" w:rsidP="00E623E5">
      <w:pPr>
        <w:pStyle w:val="ListParagraph"/>
        <w:numPr>
          <w:ilvl w:val="0"/>
          <w:numId w:val="29"/>
        </w:numPr>
        <w:spacing w:after="0" w:line="272" w:lineRule="auto"/>
        <w:ind w:left="709" w:hanging="425"/>
        <w:contextualSpacing w:val="0"/>
        <w:jc w:val="both"/>
        <w:rPr>
          <w:rFonts w:asciiTheme="minorHAnsi" w:hAnsiTheme="minorHAnsi"/>
          <w:color w:val="auto"/>
          <w:szCs w:val="22"/>
        </w:rPr>
      </w:pPr>
      <w:r w:rsidRPr="00735ADB">
        <w:rPr>
          <w:rFonts w:asciiTheme="minorHAnsi" w:hAnsiTheme="minorHAnsi"/>
          <w:b/>
          <w:bCs/>
          <w:color w:val="auto"/>
          <w:szCs w:val="22"/>
        </w:rPr>
        <w:t xml:space="preserve">RMI LiDAR airborne survey </w:t>
      </w:r>
      <w:r w:rsidRPr="00735ADB">
        <w:rPr>
          <w:rFonts w:asciiTheme="minorHAnsi" w:hAnsiTheme="minorHAnsi"/>
          <w:color w:val="auto"/>
          <w:szCs w:val="22"/>
        </w:rPr>
        <w:t>was postponed by a national fuel shortage; the extension sought to December was granted only to September 2026.</w:t>
      </w:r>
    </w:p>
    <w:p w14:paraId="647DDC05" w14:textId="77777777" w:rsidR="00C26C37" w:rsidRPr="00735ADB" w:rsidRDefault="00C26C37" w:rsidP="00E623E5">
      <w:pPr>
        <w:pStyle w:val="ListParagraph"/>
        <w:numPr>
          <w:ilvl w:val="0"/>
          <w:numId w:val="29"/>
        </w:numPr>
        <w:spacing w:after="0" w:line="272" w:lineRule="auto"/>
        <w:ind w:left="709" w:hanging="425"/>
        <w:contextualSpacing w:val="0"/>
        <w:jc w:val="both"/>
        <w:rPr>
          <w:rFonts w:asciiTheme="minorHAnsi" w:hAnsiTheme="minorHAnsi"/>
          <w:color w:val="auto"/>
          <w:szCs w:val="22"/>
        </w:rPr>
      </w:pPr>
      <w:r w:rsidRPr="00735ADB">
        <w:rPr>
          <w:rFonts w:asciiTheme="minorHAnsi" w:hAnsiTheme="minorHAnsi"/>
          <w:b/>
          <w:bCs/>
          <w:color w:val="auto"/>
          <w:szCs w:val="22"/>
        </w:rPr>
        <w:t xml:space="preserve">Regional Hydrology Strategy </w:t>
      </w:r>
      <w:r w:rsidRPr="00735ADB">
        <w:rPr>
          <w:rFonts w:asciiTheme="minorHAnsi" w:hAnsiTheme="minorHAnsi"/>
          <w:color w:val="auto"/>
          <w:szCs w:val="22"/>
        </w:rPr>
        <w:t xml:space="preserve">publication is at risk: SPC's contract expires in September </w:t>
      </w:r>
      <w:proofErr w:type="gramStart"/>
      <w:r w:rsidRPr="00735ADB">
        <w:rPr>
          <w:rFonts w:asciiTheme="minorHAnsi" w:hAnsiTheme="minorHAnsi"/>
          <w:color w:val="auto"/>
          <w:szCs w:val="22"/>
        </w:rPr>
        <w:t>2026</w:t>
      </w:r>
      <w:proofErr w:type="gramEnd"/>
      <w:r w:rsidRPr="00735ADB">
        <w:rPr>
          <w:rFonts w:asciiTheme="minorHAnsi" w:hAnsiTheme="minorHAnsi"/>
          <w:color w:val="auto"/>
          <w:szCs w:val="22"/>
        </w:rPr>
        <w:t xml:space="preserve"> and a costed extension decision is the determining factor (the period's clearest escalation).</w:t>
      </w:r>
    </w:p>
    <w:p w14:paraId="4B6E9C82" w14:textId="77777777" w:rsidR="00C26C37" w:rsidRPr="00735ADB" w:rsidRDefault="00C26C37" w:rsidP="00E623E5">
      <w:pPr>
        <w:pStyle w:val="ListParagraph"/>
        <w:numPr>
          <w:ilvl w:val="0"/>
          <w:numId w:val="29"/>
        </w:numPr>
        <w:spacing w:after="0" w:line="272" w:lineRule="auto"/>
        <w:ind w:left="709" w:hanging="425"/>
        <w:contextualSpacing w:val="0"/>
        <w:jc w:val="both"/>
        <w:rPr>
          <w:rFonts w:asciiTheme="minorHAnsi" w:hAnsiTheme="minorHAnsi"/>
          <w:color w:val="auto"/>
          <w:szCs w:val="22"/>
        </w:rPr>
      </w:pPr>
      <w:r w:rsidRPr="00735ADB">
        <w:rPr>
          <w:rFonts w:asciiTheme="minorHAnsi" w:hAnsiTheme="minorHAnsi"/>
          <w:b/>
          <w:bCs/>
          <w:color w:val="auto"/>
          <w:szCs w:val="22"/>
        </w:rPr>
        <w:t xml:space="preserve">Delivery and asset concentration: </w:t>
      </w:r>
      <w:r w:rsidRPr="00735ADB">
        <w:rPr>
          <w:rFonts w:asciiTheme="minorHAnsi" w:hAnsiTheme="minorHAnsi"/>
          <w:color w:val="auto"/>
          <w:szCs w:val="22"/>
        </w:rPr>
        <w:t>NZ Met Service accounts for around 60% of programme spend and 85% of tangible-asset expenditure — a structural exposure rather than a performance problem.</w:t>
      </w:r>
    </w:p>
    <w:p w14:paraId="2717D586" w14:textId="77777777" w:rsidR="00735ADB" w:rsidRDefault="00735ADB" w:rsidP="00735ADB">
      <w:pPr>
        <w:spacing w:after="0" w:line="272" w:lineRule="auto"/>
        <w:jc w:val="both"/>
        <w:rPr>
          <w:rFonts w:asciiTheme="minorHAnsi" w:hAnsiTheme="minorHAnsi"/>
          <w:color w:val="auto"/>
          <w:szCs w:val="22"/>
        </w:rPr>
      </w:pPr>
    </w:p>
    <w:p w14:paraId="6D770842" w14:textId="5BD21FB9" w:rsidR="00C26C37" w:rsidRPr="00735ADB" w:rsidRDefault="00C26C37" w:rsidP="00735ADB">
      <w:pPr>
        <w:spacing w:after="0" w:line="272" w:lineRule="auto"/>
        <w:jc w:val="both"/>
        <w:rPr>
          <w:rFonts w:asciiTheme="minorHAnsi" w:hAnsiTheme="minorHAnsi"/>
          <w:color w:val="auto"/>
          <w:szCs w:val="22"/>
        </w:rPr>
      </w:pPr>
      <w:r w:rsidRPr="00735ADB">
        <w:rPr>
          <w:rFonts w:asciiTheme="minorHAnsi" w:hAnsiTheme="minorHAnsi"/>
          <w:color w:val="auto"/>
          <w:szCs w:val="22"/>
        </w:rPr>
        <w:t>Two equity gaps are named rather than smoothed — NZ Met Service's uneven GEDSI coverage this period, and BoM's all-male meteorologist cohort after an enrolled female candidate withdrew before commencement.</w:t>
      </w:r>
    </w:p>
    <w:p w14:paraId="1DA3603D" w14:textId="77777777" w:rsidR="00E623E5" w:rsidRPr="00735ADB" w:rsidRDefault="00E623E5" w:rsidP="00E623E5">
      <w:pPr>
        <w:pStyle w:val="ListParagraph"/>
        <w:spacing w:after="0" w:line="272" w:lineRule="auto"/>
        <w:ind w:left="360"/>
        <w:contextualSpacing w:val="0"/>
        <w:jc w:val="both"/>
        <w:rPr>
          <w:rFonts w:asciiTheme="minorHAnsi" w:hAnsiTheme="minorHAnsi"/>
          <w:color w:val="auto"/>
          <w:szCs w:val="22"/>
        </w:rPr>
      </w:pPr>
    </w:p>
    <w:p w14:paraId="0A84AE70" w14:textId="4020825F" w:rsidR="00C26C37" w:rsidRPr="00735ADB" w:rsidRDefault="00C26C37" w:rsidP="00735ADB">
      <w:pPr>
        <w:rPr>
          <w:rFonts w:asciiTheme="minorHAnsi" w:hAnsiTheme="minorHAnsi"/>
          <w:b/>
          <w:bCs/>
        </w:rPr>
      </w:pPr>
      <w:r w:rsidRPr="00735ADB">
        <w:rPr>
          <w:rFonts w:asciiTheme="minorHAnsi" w:hAnsiTheme="minorHAnsi"/>
          <w:b/>
          <w:bCs/>
        </w:rPr>
        <w:t>Financial position (provisional)</w:t>
      </w:r>
    </w:p>
    <w:p w14:paraId="1F24A5E1" w14:textId="77777777" w:rsidR="00C26C37" w:rsidRPr="00735ADB" w:rsidRDefault="00C26C37" w:rsidP="00E623E5">
      <w:pPr>
        <w:spacing w:after="0" w:line="276" w:lineRule="auto"/>
        <w:jc w:val="both"/>
        <w:rPr>
          <w:rFonts w:asciiTheme="minorHAnsi" w:hAnsiTheme="minorHAnsi"/>
          <w:color w:val="auto"/>
          <w:szCs w:val="22"/>
        </w:rPr>
      </w:pPr>
      <w:r w:rsidRPr="00735ADB">
        <w:rPr>
          <w:rFonts w:asciiTheme="minorHAnsi" w:hAnsiTheme="minorHAnsi"/>
          <w:b/>
          <w:bCs/>
          <w:color w:val="auto"/>
          <w:szCs w:val="22"/>
        </w:rPr>
        <w:t xml:space="preserve">All financial figures are provisional and will be finalised in the 2026 WRP Annual Report. </w:t>
      </w:r>
      <w:r w:rsidRPr="00735ADB">
        <w:rPr>
          <w:rFonts w:asciiTheme="minorHAnsi" w:hAnsiTheme="minorHAnsi"/>
          <w:color w:val="auto"/>
          <w:szCs w:val="22"/>
        </w:rPr>
        <w:t>Cumulatively to 30 June 2026, the programme has incurred USD 10,285,166 against a USD 17,006,607 phase budget — an overall utilisation of 60.5%, leaving USD 6,721,441 unspent mid-delivery.</w:t>
      </w:r>
    </w:p>
    <w:p w14:paraId="3507A429" w14:textId="77777777" w:rsidR="00E623E5" w:rsidRPr="00735ADB" w:rsidRDefault="00E623E5" w:rsidP="00E623E5">
      <w:pPr>
        <w:spacing w:after="0" w:line="276" w:lineRule="auto"/>
        <w:jc w:val="both"/>
        <w:rPr>
          <w:rFonts w:asciiTheme="minorHAnsi" w:hAnsiTheme="minorHAnsi"/>
          <w:color w:val="auto"/>
          <w:szCs w:val="22"/>
        </w:rPr>
      </w:pPr>
    </w:p>
    <w:tbl>
      <w:tblPr>
        <w:tblW w:w="8228" w:type="dxa"/>
        <w:tblBorders>
          <w:top w:val="single" w:sz="4" w:space="0" w:color="D5DEE3"/>
          <w:left w:val="none" w:sz="0" w:space="0" w:color="FFFFFF"/>
          <w:bottom w:val="single" w:sz="4" w:space="0" w:color="D5DEE3"/>
          <w:right w:val="none" w:sz="0" w:space="0" w:color="FFFFFF"/>
          <w:insideH w:val="single" w:sz="4" w:space="0" w:color="D5DEE3"/>
          <w:insideV w:val="none" w:sz="0" w:space="0" w:color="FFFFFF"/>
        </w:tblBorders>
        <w:tblLayout w:type="fixed"/>
        <w:tblCellMar>
          <w:left w:w="10" w:type="dxa"/>
          <w:right w:w="10" w:type="dxa"/>
        </w:tblCellMar>
        <w:tblLook w:val="0000" w:firstRow="0" w:lastRow="0" w:firstColumn="0" w:lastColumn="0" w:noHBand="0" w:noVBand="0"/>
      </w:tblPr>
      <w:tblGrid>
        <w:gridCol w:w="2268"/>
        <w:gridCol w:w="1500"/>
        <w:gridCol w:w="1500"/>
        <w:gridCol w:w="1480"/>
        <w:gridCol w:w="1480"/>
      </w:tblGrid>
      <w:tr w:rsidR="00C26C37" w:rsidRPr="00735ADB" w14:paraId="35B17504" w14:textId="77777777" w:rsidTr="00C26C37">
        <w:tblPrEx>
          <w:tblCellMar>
            <w:top w:w="0" w:type="dxa"/>
            <w:bottom w:w="0" w:type="dxa"/>
          </w:tblCellMar>
        </w:tblPrEx>
        <w:trPr>
          <w:tblHeader/>
        </w:trPr>
        <w:tc>
          <w:tcPr>
            <w:tcW w:w="2268" w:type="dxa"/>
            <w:shd w:val="clear" w:color="auto" w:fill="12658C"/>
            <w:tcMar>
              <w:top w:w="60" w:type="dxa"/>
              <w:left w:w="110" w:type="dxa"/>
              <w:bottom w:w="60" w:type="dxa"/>
              <w:right w:w="110" w:type="dxa"/>
            </w:tcMar>
            <w:vAlign w:val="center"/>
          </w:tcPr>
          <w:p w14:paraId="5BFC5C23" w14:textId="77777777" w:rsidR="00C26C37" w:rsidRPr="00735ADB" w:rsidRDefault="00C26C37" w:rsidP="00C26C37">
            <w:pPr>
              <w:spacing w:after="0" w:line="240" w:lineRule="auto"/>
              <w:rPr>
                <w:rFonts w:asciiTheme="minorHAnsi" w:hAnsiTheme="minorHAnsi"/>
                <w:color w:val="FFFFFF" w:themeColor="background1"/>
                <w:szCs w:val="22"/>
              </w:rPr>
            </w:pPr>
            <w:r w:rsidRPr="00735ADB">
              <w:rPr>
                <w:rFonts w:asciiTheme="minorHAnsi" w:hAnsiTheme="minorHAnsi"/>
                <w:b/>
                <w:bCs/>
                <w:color w:val="FFFFFF" w:themeColor="background1"/>
                <w:szCs w:val="22"/>
              </w:rPr>
              <w:t>Executing agency</w:t>
            </w:r>
          </w:p>
        </w:tc>
        <w:tc>
          <w:tcPr>
            <w:tcW w:w="1500" w:type="dxa"/>
            <w:shd w:val="clear" w:color="auto" w:fill="12658C"/>
            <w:tcMar>
              <w:top w:w="60" w:type="dxa"/>
              <w:left w:w="110" w:type="dxa"/>
              <w:bottom w:w="60" w:type="dxa"/>
              <w:right w:w="110" w:type="dxa"/>
            </w:tcMar>
            <w:vAlign w:val="center"/>
          </w:tcPr>
          <w:p w14:paraId="7B679BC7" w14:textId="77777777" w:rsidR="00C26C37" w:rsidRPr="00735ADB" w:rsidRDefault="00C26C37" w:rsidP="00C26C37">
            <w:pPr>
              <w:spacing w:after="0" w:line="240" w:lineRule="auto"/>
              <w:jc w:val="right"/>
              <w:rPr>
                <w:rFonts w:asciiTheme="minorHAnsi" w:hAnsiTheme="minorHAnsi"/>
                <w:color w:val="FFFFFF" w:themeColor="background1"/>
                <w:szCs w:val="22"/>
              </w:rPr>
            </w:pPr>
            <w:r w:rsidRPr="00735ADB">
              <w:rPr>
                <w:rFonts w:asciiTheme="minorHAnsi" w:hAnsiTheme="minorHAnsi"/>
                <w:b/>
                <w:bCs/>
                <w:color w:val="FFFFFF" w:themeColor="background1"/>
                <w:szCs w:val="22"/>
              </w:rPr>
              <w:t>Budget (USD)</w:t>
            </w:r>
          </w:p>
        </w:tc>
        <w:tc>
          <w:tcPr>
            <w:tcW w:w="1500" w:type="dxa"/>
            <w:shd w:val="clear" w:color="auto" w:fill="12658C"/>
            <w:tcMar>
              <w:top w:w="60" w:type="dxa"/>
              <w:left w:w="110" w:type="dxa"/>
              <w:bottom w:w="60" w:type="dxa"/>
              <w:right w:w="110" w:type="dxa"/>
            </w:tcMar>
            <w:vAlign w:val="center"/>
          </w:tcPr>
          <w:p w14:paraId="50D0252B" w14:textId="77777777" w:rsidR="00C26C37" w:rsidRPr="00735ADB" w:rsidRDefault="00C26C37" w:rsidP="00C26C37">
            <w:pPr>
              <w:spacing w:after="0" w:line="240" w:lineRule="auto"/>
              <w:jc w:val="right"/>
              <w:rPr>
                <w:rFonts w:asciiTheme="minorHAnsi" w:hAnsiTheme="minorHAnsi"/>
                <w:color w:val="FFFFFF" w:themeColor="background1"/>
                <w:szCs w:val="22"/>
              </w:rPr>
            </w:pPr>
            <w:r w:rsidRPr="00735ADB">
              <w:rPr>
                <w:rFonts w:asciiTheme="minorHAnsi" w:hAnsiTheme="minorHAnsi"/>
                <w:b/>
                <w:bCs/>
                <w:color w:val="FFFFFF" w:themeColor="background1"/>
                <w:szCs w:val="22"/>
              </w:rPr>
              <w:t>Incurred (USD)</w:t>
            </w:r>
          </w:p>
        </w:tc>
        <w:tc>
          <w:tcPr>
            <w:tcW w:w="1480" w:type="dxa"/>
            <w:shd w:val="clear" w:color="auto" w:fill="12658C"/>
            <w:tcMar>
              <w:top w:w="60" w:type="dxa"/>
              <w:left w:w="110" w:type="dxa"/>
              <w:bottom w:w="60" w:type="dxa"/>
              <w:right w:w="110" w:type="dxa"/>
            </w:tcMar>
            <w:vAlign w:val="center"/>
          </w:tcPr>
          <w:p w14:paraId="5C2EB078" w14:textId="77777777" w:rsidR="00C26C37" w:rsidRPr="00735ADB" w:rsidRDefault="00C26C37" w:rsidP="00C26C37">
            <w:pPr>
              <w:spacing w:after="0" w:line="240" w:lineRule="auto"/>
              <w:jc w:val="right"/>
              <w:rPr>
                <w:rFonts w:asciiTheme="minorHAnsi" w:hAnsiTheme="minorHAnsi"/>
                <w:color w:val="FFFFFF" w:themeColor="background1"/>
                <w:szCs w:val="22"/>
              </w:rPr>
            </w:pPr>
            <w:r w:rsidRPr="00735ADB">
              <w:rPr>
                <w:rFonts w:asciiTheme="minorHAnsi" w:hAnsiTheme="minorHAnsi"/>
                <w:b/>
                <w:bCs/>
                <w:color w:val="FFFFFF" w:themeColor="background1"/>
                <w:szCs w:val="22"/>
              </w:rPr>
              <w:t>Balance (USD)</w:t>
            </w:r>
          </w:p>
        </w:tc>
        <w:tc>
          <w:tcPr>
            <w:tcW w:w="1480" w:type="dxa"/>
            <w:shd w:val="clear" w:color="auto" w:fill="12658C"/>
            <w:tcMar>
              <w:top w:w="60" w:type="dxa"/>
              <w:left w:w="110" w:type="dxa"/>
              <w:bottom w:w="60" w:type="dxa"/>
              <w:right w:w="110" w:type="dxa"/>
            </w:tcMar>
            <w:vAlign w:val="center"/>
          </w:tcPr>
          <w:p w14:paraId="0634E13C" w14:textId="77777777" w:rsidR="00C26C37" w:rsidRPr="00735ADB" w:rsidRDefault="00C26C37" w:rsidP="00C26C37">
            <w:pPr>
              <w:spacing w:after="0" w:line="240" w:lineRule="auto"/>
              <w:jc w:val="right"/>
              <w:rPr>
                <w:rFonts w:asciiTheme="minorHAnsi" w:hAnsiTheme="minorHAnsi"/>
                <w:color w:val="FFFFFF" w:themeColor="background1"/>
                <w:szCs w:val="22"/>
              </w:rPr>
            </w:pPr>
            <w:r w:rsidRPr="00735ADB">
              <w:rPr>
                <w:rFonts w:asciiTheme="minorHAnsi" w:hAnsiTheme="minorHAnsi"/>
                <w:b/>
                <w:bCs/>
                <w:color w:val="FFFFFF" w:themeColor="background1"/>
                <w:szCs w:val="22"/>
              </w:rPr>
              <w:t>Utilisation</w:t>
            </w:r>
          </w:p>
        </w:tc>
      </w:tr>
      <w:tr w:rsidR="00C26C37" w:rsidRPr="00735ADB" w14:paraId="6EB58B2F" w14:textId="77777777" w:rsidTr="00C26C37">
        <w:tblPrEx>
          <w:tblCellMar>
            <w:top w:w="0" w:type="dxa"/>
            <w:bottom w:w="0" w:type="dxa"/>
          </w:tblCellMar>
        </w:tblPrEx>
        <w:tc>
          <w:tcPr>
            <w:tcW w:w="2268" w:type="dxa"/>
            <w:shd w:val="clear" w:color="auto" w:fill="FFFFFF"/>
            <w:tcMar>
              <w:top w:w="60" w:type="dxa"/>
              <w:left w:w="110" w:type="dxa"/>
              <w:bottom w:w="60" w:type="dxa"/>
              <w:right w:w="110" w:type="dxa"/>
            </w:tcMar>
            <w:vAlign w:val="center"/>
          </w:tcPr>
          <w:p w14:paraId="73E2F976"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color w:val="auto"/>
                <w:szCs w:val="22"/>
              </w:rPr>
              <w:t>BoM</w:t>
            </w:r>
          </w:p>
        </w:tc>
        <w:tc>
          <w:tcPr>
            <w:tcW w:w="1500" w:type="dxa"/>
            <w:shd w:val="clear" w:color="auto" w:fill="FFFFFF"/>
            <w:tcMar>
              <w:top w:w="60" w:type="dxa"/>
              <w:left w:w="110" w:type="dxa"/>
              <w:bottom w:w="60" w:type="dxa"/>
              <w:right w:w="110" w:type="dxa"/>
            </w:tcMar>
            <w:vAlign w:val="center"/>
          </w:tcPr>
          <w:p w14:paraId="658909FE"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956,755</w:t>
            </w:r>
          </w:p>
        </w:tc>
        <w:tc>
          <w:tcPr>
            <w:tcW w:w="1500" w:type="dxa"/>
            <w:shd w:val="clear" w:color="auto" w:fill="FFFFFF"/>
            <w:tcMar>
              <w:top w:w="60" w:type="dxa"/>
              <w:left w:w="110" w:type="dxa"/>
              <w:bottom w:w="60" w:type="dxa"/>
              <w:right w:w="110" w:type="dxa"/>
            </w:tcMar>
            <w:vAlign w:val="center"/>
          </w:tcPr>
          <w:p w14:paraId="5551454A"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412,532</w:t>
            </w:r>
          </w:p>
        </w:tc>
        <w:tc>
          <w:tcPr>
            <w:tcW w:w="1480" w:type="dxa"/>
            <w:shd w:val="clear" w:color="auto" w:fill="FFFFFF"/>
            <w:tcMar>
              <w:top w:w="60" w:type="dxa"/>
              <w:left w:w="110" w:type="dxa"/>
              <w:bottom w:w="60" w:type="dxa"/>
              <w:right w:w="110" w:type="dxa"/>
            </w:tcMar>
            <w:vAlign w:val="center"/>
          </w:tcPr>
          <w:p w14:paraId="29DC16EE"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544,222</w:t>
            </w:r>
          </w:p>
        </w:tc>
        <w:tc>
          <w:tcPr>
            <w:tcW w:w="1480" w:type="dxa"/>
            <w:shd w:val="clear" w:color="auto" w:fill="FFFFFF"/>
            <w:tcMar>
              <w:top w:w="60" w:type="dxa"/>
              <w:left w:w="110" w:type="dxa"/>
              <w:bottom w:w="60" w:type="dxa"/>
              <w:right w:w="110" w:type="dxa"/>
            </w:tcMar>
            <w:vAlign w:val="center"/>
          </w:tcPr>
          <w:p w14:paraId="7B686347"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43.1%</w:t>
            </w:r>
          </w:p>
        </w:tc>
      </w:tr>
      <w:tr w:rsidR="00C26C37" w:rsidRPr="00735ADB" w14:paraId="587FD1ED" w14:textId="77777777" w:rsidTr="00C26C37">
        <w:tblPrEx>
          <w:tblCellMar>
            <w:top w:w="0" w:type="dxa"/>
            <w:bottom w:w="0" w:type="dxa"/>
          </w:tblCellMar>
        </w:tblPrEx>
        <w:tc>
          <w:tcPr>
            <w:tcW w:w="2268" w:type="dxa"/>
            <w:shd w:val="clear" w:color="auto" w:fill="F4F8FA"/>
            <w:tcMar>
              <w:top w:w="60" w:type="dxa"/>
              <w:left w:w="110" w:type="dxa"/>
              <w:bottom w:w="60" w:type="dxa"/>
              <w:right w:w="110" w:type="dxa"/>
            </w:tcMar>
            <w:vAlign w:val="center"/>
          </w:tcPr>
          <w:p w14:paraId="45A97599"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color w:val="auto"/>
                <w:szCs w:val="22"/>
              </w:rPr>
              <w:t>ESNZ</w:t>
            </w:r>
          </w:p>
        </w:tc>
        <w:tc>
          <w:tcPr>
            <w:tcW w:w="1500" w:type="dxa"/>
            <w:shd w:val="clear" w:color="auto" w:fill="F4F8FA"/>
            <w:tcMar>
              <w:top w:w="60" w:type="dxa"/>
              <w:left w:w="110" w:type="dxa"/>
              <w:bottom w:w="60" w:type="dxa"/>
              <w:right w:w="110" w:type="dxa"/>
            </w:tcMar>
            <w:vAlign w:val="center"/>
          </w:tcPr>
          <w:p w14:paraId="11113B3D"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2,572,010</w:t>
            </w:r>
          </w:p>
        </w:tc>
        <w:tc>
          <w:tcPr>
            <w:tcW w:w="1500" w:type="dxa"/>
            <w:shd w:val="clear" w:color="auto" w:fill="F4F8FA"/>
            <w:tcMar>
              <w:top w:w="60" w:type="dxa"/>
              <w:left w:w="110" w:type="dxa"/>
              <w:bottom w:w="60" w:type="dxa"/>
              <w:right w:w="110" w:type="dxa"/>
            </w:tcMar>
            <w:vAlign w:val="center"/>
          </w:tcPr>
          <w:p w14:paraId="5D1A3FAB"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1,174,307</w:t>
            </w:r>
          </w:p>
        </w:tc>
        <w:tc>
          <w:tcPr>
            <w:tcW w:w="1480" w:type="dxa"/>
            <w:shd w:val="clear" w:color="auto" w:fill="F4F8FA"/>
            <w:tcMar>
              <w:top w:w="60" w:type="dxa"/>
              <w:left w:w="110" w:type="dxa"/>
              <w:bottom w:w="60" w:type="dxa"/>
              <w:right w:w="110" w:type="dxa"/>
            </w:tcMar>
            <w:vAlign w:val="center"/>
          </w:tcPr>
          <w:p w14:paraId="530958EA"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1,397,703</w:t>
            </w:r>
          </w:p>
        </w:tc>
        <w:tc>
          <w:tcPr>
            <w:tcW w:w="1480" w:type="dxa"/>
            <w:shd w:val="clear" w:color="auto" w:fill="F4F8FA"/>
            <w:tcMar>
              <w:top w:w="60" w:type="dxa"/>
              <w:left w:w="110" w:type="dxa"/>
              <w:bottom w:w="60" w:type="dxa"/>
              <w:right w:w="110" w:type="dxa"/>
            </w:tcMar>
            <w:vAlign w:val="center"/>
          </w:tcPr>
          <w:p w14:paraId="28A4E206"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45.7%</w:t>
            </w:r>
          </w:p>
        </w:tc>
      </w:tr>
      <w:tr w:rsidR="00C26C37" w:rsidRPr="00735ADB" w14:paraId="054E31ED" w14:textId="77777777" w:rsidTr="00C26C37">
        <w:tblPrEx>
          <w:tblCellMar>
            <w:top w:w="0" w:type="dxa"/>
            <w:bottom w:w="0" w:type="dxa"/>
          </w:tblCellMar>
        </w:tblPrEx>
        <w:tc>
          <w:tcPr>
            <w:tcW w:w="2268" w:type="dxa"/>
            <w:shd w:val="clear" w:color="auto" w:fill="FFFFFF"/>
            <w:tcMar>
              <w:top w:w="60" w:type="dxa"/>
              <w:left w:w="110" w:type="dxa"/>
              <w:bottom w:w="60" w:type="dxa"/>
              <w:right w:w="110" w:type="dxa"/>
            </w:tcMar>
            <w:vAlign w:val="center"/>
          </w:tcPr>
          <w:p w14:paraId="3AA55175"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color w:val="auto"/>
                <w:szCs w:val="22"/>
              </w:rPr>
              <w:t>NZ Met Service</w:t>
            </w:r>
          </w:p>
        </w:tc>
        <w:tc>
          <w:tcPr>
            <w:tcW w:w="1500" w:type="dxa"/>
            <w:shd w:val="clear" w:color="auto" w:fill="FFFFFF"/>
            <w:tcMar>
              <w:top w:w="60" w:type="dxa"/>
              <w:left w:w="110" w:type="dxa"/>
              <w:bottom w:w="60" w:type="dxa"/>
              <w:right w:w="110" w:type="dxa"/>
            </w:tcMar>
            <w:vAlign w:val="center"/>
          </w:tcPr>
          <w:p w14:paraId="7332BF9B"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7,498,718</w:t>
            </w:r>
          </w:p>
        </w:tc>
        <w:tc>
          <w:tcPr>
            <w:tcW w:w="1500" w:type="dxa"/>
            <w:shd w:val="clear" w:color="auto" w:fill="FFFFFF"/>
            <w:tcMar>
              <w:top w:w="60" w:type="dxa"/>
              <w:left w:w="110" w:type="dxa"/>
              <w:bottom w:w="60" w:type="dxa"/>
              <w:right w:w="110" w:type="dxa"/>
            </w:tcMar>
            <w:vAlign w:val="center"/>
          </w:tcPr>
          <w:p w14:paraId="7CED8FCC"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6,160,629</w:t>
            </w:r>
          </w:p>
        </w:tc>
        <w:tc>
          <w:tcPr>
            <w:tcW w:w="1480" w:type="dxa"/>
            <w:shd w:val="clear" w:color="auto" w:fill="FFFFFF"/>
            <w:tcMar>
              <w:top w:w="60" w:type="dxa"/>
              <w:left w:w="110" w:type="dxa"/>
              <w:bottom w:w="60" w:type="dxa"/>
              <w:right w:w="110" w:type="dxa"/>
            </w:tcMar>
            <w:vAlign w:val="center"/>
          </w:tcPr>
          <w:p w14:paraId="40B273EE"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1,338,089</w:t>
            </w:r>
          </w:p>
        </w:tc>
        <w:tc>
          <w:tcPr>
            <w:tcW w:w="1480" w:type="dxa"/>
            <w:shd w:val="clear" w:color="auto" w:fill="FFFFFF"/>
            <w:tcMar>
              <w:top w:w="60" w:type="dxa"/>
              <w:left w:w="110" w:type="dxa"/>
              <w:bottom w:w="60" w:type="dxa"/>
              <w:right w:w="110" w:type="dxa"/>
            </w:tcMar>
            <w:vAlign w:val="center"/>
          </w:tcPr>
          <w:p w14:paraId="19163DD1"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82.2%</w:t>
            </w:r>
          </w:p>
        </w:tc>
      </w:tr>
      <w:tr w:rsidR="00C26C37" w:rsidRPr="00735ADB" w14:paraId="7E7B878F" w14:textId="77777777" w:rsidTr="00C26C37">
        <w:tblPrEx>
          <w:tblCellMar>
            <w:top w:w="0" w:type="dxa"/>
            <w:bottom w:w="0" w:type="dxa"/>
          </w:tblCellMar>
        </w:tblPrEx>
        <w:tc>
          <w:tcPr>
            <w:tcW w:w="2268" w:type="dxa"/>
            <w:shd w:val="clear" w:color="auto" w:fill="F4F8FA"/>
            <w:tcMar>
              <w:top w:w="60" w:type="dxa"/>
              <w:left w:w="110" w:type="dxa"/>
              <w:bottom w:w="60" w:type="dxa"/>
              <w:right w:w="110" w:type="dxa"/>
            </w:tcMar>
            <w:vAlign w:val="center"/>
          </w:tcPr>
          <w:p w14:paraId="23DE1103"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color w:val="auto"/>
                <w:szCs w:val="22"/>
              </w:rPr>
              <w:t>SPC</w:t>
            </w:r>
          </w:p>
        </w:tc>
        <w:tc>
          <w:tcPr>
            <w:tcW w:w="1500" w:type="dxa"/>
            <w:shd w:val="clear" w:color="auto" w:fill="F4F8FA"/>
            <w:tcMar>
              <w:top w:w="60" w:type="dxa"/>
              <w:left w:w="110" w:type="dxa"/>
              <w:bottom w:w="60" w:type="dxa"/>
              <w:right w:w="110" w:type="dxa"/>
            </w:tcMar>
            <w:vAlign w:val="center"/>
          </w:tcPr>
          <w:p w14:paraId="193F779C"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1,119,278</w:t>
            </w:r>
          </w:p>
        </w:tc>
        <w:tc>
          <w:tcPr>
            <w:tcW w:w="1500" w:type="dxa"/>
            <w:shd w:val="clear" w:color="auto" w:fill="F4F8FA"/>
            <w:tcMar>
              <w:top w:w="60" w:type="dxa"/>
              <w:left w:w="110" w:type="dxa"/>
              <w:bottom w:w="60" w:type="dxa"/>
              <w:right w:w="110" w:type="dxa"/>
            </w:tcMar>
            <w:vAlign w:val="center"/>
          </w:tcPr>
          <w:p w14:paraId="32DC5525"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292,621</w:t>
            </w:r>
          </w:p>
        </w:tc>
        <w:tc>
          <w:tcPr>
            <w:tcW w:w="1480" w:type="dxa"/>
            <w:shd w:val="clear" w:color="auto" w:fill="F4F8FA"/>
            <w:tcMar>
              <w:top w:w="60" w:type="dxa"/>
              <w:left w:w="110" w:type="dxa"/>
              <w:bottom w:w="60" w:type="dxa"/>
              <w:right w:w="110" w:type="dxa"/>
            </w:tcMar>
            <w:vAlign w:val="center"/>
          </w:tcPr>
          <w:p w14:paraId="49BB2C21"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826,657</w:t>
            </w:r>
          </w:p>
        </w:tc>
        <w:tc>
          <w:tcPr>
            <w:tcW w:w="1480" w:type="dxa"/>
            <w:shd w:val="clear" w:color="auto" w:fill="F4F8FA"/>
            <w:tcMar>
              <w:top w:w="60" w:type="dxa"/>
              <w:left w:w="110" w:type="dxa"/>
              <w:bottom w:w="60" w:type="dxa"/>
              <w:right w:w="110" w:type="dxa"/>
            </w:tcMar>
            <w:vAlign w:val="center"/>
          </w:tcPr>
          <w:p w14:paraId="2C98D6F7"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26.1%</w:t>
            </w:r>
          </w:p>
        </w:tc>
      </w:tr>
      <w:tr w:rsidR="00C26C37" w:rsidRPr="00735ADB" w14:paraId="47225322" w14:textId="77777777" w:rsidTr="00C26C37">
        <w:tblPrEx>
          <w:tblCellMar>
            <w:top w:w="0" w:type="dxa"/>
            <w:bottom w:w="0" w:type="dxa"/>
          </w:tblCellMar>
        </w:tblPrEx>
        <w:tc>
          <w:tcPr>
            <w:tcW w:w="2268" w:type="dxa"/>
            <w:shd w:val="clear" w:color="auto" w:fill="FFFFFF"/>
            <w:tcMar>
              <w:top w:w="60" w:type="dxa"/>
              <w:left w:w="110" w:type="dxa"/>
              <w:bottom w:w="60" w:type="dxa"/>
              <w:right w:w="110" w:type="dxa"/>
            </w:tcMar>
            <w:vAlign w:val="center"/>
          </w:tcPr>
          <w:p w14:paraId="640C843D"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color w:val="auto"/>
                <w:szCs w:val="22"/>
              </w:rPr>
              <w:t>WRP PMU</w:t>
            </w:r>
          </w:p>
        </w:tc>
        <w:tc>
          <w:tcPr>
            <w:tcW w:w="1500" w:type="dxa"/>
            <w:shd w:val="clear" w:color="auto" w:fill="FFFFFF"/>
            <w:tcMar>
              <w:top w:w="60" w:type="dxa"/>
              <w:left w:w="110" w:type="dxa"/>
              <w:bottom w:w="60" w:type="dxa"/>
              <w:right w:w="110" w:type="dxa"/>
            </w:tcMar>
            <w:vAlign w:val="center"/>
          </w:tcPr>
          <w:p w14:paraId="4F3A0BC6"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4,859,847</w:t>
            </w:r>
          </w:p>
        </w:tc>
        <w:tc>
          <w:tcPr>
            <w:tcW w:w="1500" w:type="dxa"/>
            <w:shd w:val="clear" w:color="auto" w:fill="FFFFFF"/>
            <w:tcMar>
              <w:top w:w="60" w:type="dxa"/>
              <w:left w:w="110" w:type="dxa"/>
              <w:bottom w:w="60" w:type="dxa"/>
              <w:right w:w="110" w:type="dxa"/>
            </w:tcMar>
            <w:vAlign w:val="center"/>
          </w:tcPr>
          <w:p w14:paraId="00E28F30"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2,245,077</w:t>
            </w:r>
          </w:p>
        </w:tc>
        <w:tc>
          <w:tcPr>
            <w:tcW w:w="1480" w:type="dxa"/>
            <w:shd w:val="clear" w:color="auto" w:fill="FFFFFF"/>
            <w:tcMar>
              <w:top w:w="60" w:type="dxa"/>
              <w:left w:w="110" w:type="dxa"/>
              <w:bottom w:w="60" w:type="dxa"/>
              <w:right w:w="110" w:type="dxa"/>
            </w:tcMar>
            <w:vAlign w:val="center"/>
          </w:tcPr>
          <w:p w14:paraId="0E9BD944"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2,614,770</w:t>
            </w:r>
          </w:p>
        </w:tc>
        <w:tc>
          <w:tcPr>
            <w:tcW w:w="1480" w:type="dxa"/>
            <w:shd w:val="clear" w:color="auto" w:fill="FFFFFF"/>
            <w:tcMar>
              <w:top w:w="60" w:type="dxa"/>
              <w:left w:w="110" w:type="dxa"/>
              <w:bottom w:w="60" w:type="dxa"/>
              <w:right w:w="110" w:type="dxa"/>
            </w:tcMar>
            <w:vAlign w:val="center"/>
          </w:tcPr>
          <w:p w14:paraId="0BEABB5B"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color w:val="auto"/>
                <w:szCs w:val="22"/>
              </w:rPr>
              <w:t>46.2%</w:t>
            </w:r>
          </w:p>
        </w:tc>
      </w:tr>
      <w:tr w:rsidR="00C26C37" w:rsidRPr="00735ADB" w14:paraId="02BDF2FA" w14:textId="77777777" w:rsidTr="00C26C37">
        <w:tblPrEx>
          <w:tblCellMar>
            <w:top w:w="0" w:type="dxa"/>
            <w:bottom w:w="0" w:type="dxa"/>
          </w:tblCellMar>
        </w:tblPrEx>
        <w:tc>
          <w:tcPr>
            <w:tcW w:w="2268" w:type="dxa"/>
            <w:shd w:val="clear" w:color="auto" w:fill="EAF0F3"/>
            <w:tcMar>
              <w:top w:w="60" w:type="dxa"/>
              <w:left w:w="110" w:type="dxa"/>
              <w:bottom w:w="60" w:type="dxa"/>
              <w:right w:w="110" w:type="dxa"/>
            </w:tcMar>
            <w:vAlign w:val="center"/>
          </w:tcPr>
          <w:p w14:paraId="0ADC22F9" w14:textId="77777777" w:rsidR="00C26C37" w:rsidRPr="00735ADB" w:rsidRDefault="00C26C37" w:rsidP="00C26C37">
            <w:pPr>
              <w:spacing w:after="0" w:line="240" w:lineRule="auto"/>
              <w:rPr>
                <w:rFonts w:asciiTheme="minorHAnsi" w:hAnsiTheme="minorHAnsi"/>
                <w:color w:val="auto"/>
                <w:szCs w:val="22"/>
              </w:rPr>
            </w:pPr>
            <w:r w:rsidRPr="00735ADB">
              <w:rPr>
                <w:rFonts w:asciiTheme="minorHAnsi" w:hAnsiTheme="minorHAnsi"/>
                <w:b/>
                <w:bCs/>
                <w:color w:val="auto"/>
                <w:szCs w:val="22"/>
              </w:rPr>
              <w:t>TOTAL</w:t>
            </w:r>
          </w:p>
        </w:tc>
        <w:tc>
          <w:tcPr>
            <w:tcW w:w="1500" w:type="dxa"/>
            <w:shd w:val="clear" w:color="auto" w:fill="EAF0F3"/>
            <w:tcMar>
              <w:top w:w="60" w:type="dxa"/>
              <w:left w:w="110" w:type="dxa"/>
              <w:bottom w:w="60" w:type="dxa"/>
              <w:right w:w="110" w:type="dxa"/>
            </w:tcMar>
            <w:vAlign w:val="center"/>
          </w:tcPr>
          <w:p w14:paraId="3A365D8F"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b/>
                <w:bCs/>
                <w:color w:val="auto"/>
                <w:szCs w:val="22"/>
              </w:rPr>
              <w:t>17,006,607</w:t>
            </w:r>
          </w:p>
        </w:tc>
        <w:tc>
          <w:tcPr>
            <w:tcW w:w="1500" w:type="dxa"/>
            <w:shd w:val="clear" w:color="auto" w:fill="EAF0F3"/>
            <w:tcMar>
              <w:top w:w="60" w:type="dxa"/>
              <w:left w:w="110" w:type="dxa"/>
              <w:bottom w:w="60" w:type="dxa"/>
              <w:right w:w="110" w:type="dxa"/>
            </w:tcMar>
            <w:vAlign w:val="center"/>
          </w:tcPr>
          <w:p w14:paraId="52B00C24"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b/>
                <w:bCs/>
                <w:color w:val="auto"/>
                <w:szCs w:val="22"/>
              </w:rPr>
              <w:t>10,285,166</w:t>
            </w:r>
          </w:p>
        </w:tc>
        <w:tc>
          <w:tcPr>
            <w:tcW w:w="1480" w:type="dxa"/>
            <w:shd w:val="clear" w:color="auto" w:fill="EAF0F3"/>
            <w:tcMar>
              <w:top w:w="60" w:type="dxa"/>
              <w:left w:w="110" w:type="dxa"/>
              <w:bottom w:w="60" w:type="dxa"/>
              <w:right w:w="110" w:type="dxa"/>
            </w:tcMar>
            <w:vAlign w:val="center"/>
          </w:tcPr>
          <w:p w14:paraId="46CEAF13"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b/>
                <w:bCs/>
                <w:color w:val="auto"/>
                <w:szCs w:val="22"/>
              </w:rPr>
              <w:t>6,721,441</w:t>
            </w:r>
          </w:p>
        </w:tc>
        <w:tc>
          <w:tcPr>
            <w:tcW w:w="1480" w:type="dxa"/>
            <w:shd w:val="clear" w:color="auto" w:fill="EAF0F3"/>
            <w:tcMar>
              <w:top w:w="60" w:type="dxa"/>
              <w:left w:w="110" w:type="dxa"/>
              <w:bottom w:w="60" w:type="dxa"/>
              <w:right w:w="110" w:type="dxa"/>
            </w:tcMar>
            <w:vAlign w:val="center"/>
          </w:tcPr>
          <w:p w14:paraId="021F3842" w14:textId="77777777" w:rsidR="00C26C37" w:rsidRPr="00735ADB" w:rsidRDefault="00C26C37" w:rsidP="00C26C37">
            <w:pPr>
              <w:spacing w:after="0" w:line="240" w:lineRule="auto"/>
              <w:jc w:val="right"/>
              <w:rPr>
                <w:rFonts w:asciiTheme="minorHAnsi" w:hAnsiTheme="minorHAnsi"/>
                <w:color w:val="auto"/>
                <w:szCs w:val="22"/>
              </w:rPr>
            </w:pPr>
            <w:r w:rsidRPr="00735ADB">
              <w:rPr>
                <w:rFonts w:asciiTheme="minorHAnsi" w:hAnsiTheme="minorHAnsi"/>
                <w:b/>
                <w:bCs/>
                <w:color w:val="auto"/>
                <w:szCs w:val="22"/>
              </w:rPr>
              <w:t>60.5%</w:t>
            </w:r>
          </w:p>
        </w:tc>
      </w:tr>
    </w:tbl>
    <w:p w14:paraId="4C1F20BC" w14:textId="77777777" w:rsidR="00C26C37" w:rsidRPr="00735ADB" w:rsidRDefault="00C26C37" w:rsidP="00C26C37">
      <w:pPr>
        <w:spacing w:after="0"/>
        <w:rPr>
          <w:rFonts w:asciiTheme="minorHAnsi" w:hAnsiTheme="minorHAnsi"/>
          <w:color w:val="auto"/>
          <w:szCs w:val="22"/>
        </w:rPr>
      </w:pPr>
    </w:p>
    <w:p w14:paraId="6137BACF" w14:textId="77777777" w:rsidR="00C26C37" w:rsidRPr="00735ADB" w:rsidRDefault="00C26C37" w:rsidP="00E623E5">
      <w:pPr>
        <w:spacing w:after="0" w:line="276" w:lineRule="auto"/>
        <w:jc w:val="both"/>
        <w:rPr>
          <w:rFonts w:asciiTheme="minorHAnsi" w:hAnsiTheme="minorHAnsi"/>
          <w:color w:val="auto"/>
          <w:szCs w:val="22"/>
        </w:rPr>
      </w:pPr>
      <w:r w:rsidRPr="00735ADB">
        <w:rPr>
          <w:rFonts w:asciiTheme="minorHAnsi" w:hAnsiTheme="minorHAnsi"/>
          <w:b/>
          <w:bCs/>
          <w:color w:val="auto"/>
          <w:szCs w:val="22"/>
        </w:rPr>
        <w:t xml:space="preserve">Reading the picture: </w:t>
      </w:r>
      <w:r w:rsidRPr="00735ADB">
        <w:rPr>
          <w:rFonts w:asciiTheme="minorHAnsi" w:hAnsiTheme="minorHAnsi"/>
          <w:color w:val="auto"/>
          <w:szCs w:val="22"/>
        </w:rPr>
        <w:t xml:space="preserve">the headline 60.5% conceals a </w:t>
      </w:r>
      <w:proofErr w:type="gramStart"/>
      <w:r w:rsidRPr="00735ADB">
        <w:rPr>
          <w:rFonts w:asciiTheme="minorHAnsi" w:hAnsiTheme="minorHAnsi"/>
          <w:color w:val="auto"/>
          <w:szCs w:val="22"/>
        </w:rPr>
        <w:t>wide spread</w:t>
      </w:r>
      <w:proofErr w:type="gramEnd"/>
      <w:r w:rsidRPr="00735ADB">
        <w:rPr>
          <w:rFonts w:asciiTheme="minorHAnsi" w:hAnsiTheme="minorHAnsi"/>
          <w:color w:val="auto"/>
          <w:szCs w:val="22"/>
        </w:rPr>
        <w:t xml:space="preserve"> — NZ Met Service is at 82.2% while the other four agencies sit between 26.1% and 46.2%. A large share of the unspent balance is a timing position rather than slippage, chiefly the ~USD 2M Samoa weather-watch radar held in contract negotiation and SPC's postponed LiDAR survey. With a short effective delivery window remaining in 2026, a portion may need to be reprogrammed or carried into 2027. This is a delivery-pacing question, not evidence of funds at risk. The full basis notes and donor-funding position are in the report.</w:t>
      </w:r>
    </w:p>
    <w:p w14:paraId="6580CBD9" w14:textId="77777777" w:rsidR="00E623E5" w:rsidRPr="00735ADB" w:rsidRDefault="00E623E5" w:rsidP="00E623E5">
      <w:pPr>
        <w:spacing w:after="0" w:line="276" w:lineRule="auto"/>
        <w:jc w:val="both"/>
        <w:rPr>
          <w:rFonts w:asciiTheme="minorHAnsi" w:hAnsiTheme="minorHAnsi"/>
          <w:color w:val="auto"/>
          <w:szCs w:val="22"/>
        </w:rPr>
      </w:pPr>
    </w:p>
    <w:p w14:paraId="32068CB0" w14:textId="77777777" w:rsidR="00C26C37" w:rsidRPr="00735ADB" w:rsidRDefault="00C26C37" w:rsidP="00C26C37">
      <w:pPr>
        <w:spacing w:after="0" w:line="276" w:lineRule="auto"/>
        <w:rPr>
          <w:rFonts w:asciiTheme="minorHAnsi" w:hAnsiTheme="minorHAnsi"/>
          <w:i/>
          <w:iCs/>
          <w:color w:val="auto"/>
          <w:szCs w:val="22"/>
        </w:rPr>
      </w:pPr>
      <w:r w:rsidRPr="00735ADB">
        <w:rPr>
          <w:rFonts w:asciiTheme="minorHAnsi" w:hAnsiTheme="minorHAnsi"/>
          <w:i/>
          <w:iCs/>
          <w:color w:val="auto"/>
          <w:szCs w:val="22"/>
        </w:rPr>
        <w:t>The programme is funded by a committed donor envelope of approximately USD 41.9 million on an interim basis; this funds the whole programme to 2029–2031 and should not be read against the phase-budget utilisation above.</w:t>
      </w:r>
    </w:p>
    <w:p w14:paraId="74CA9EA6" w14:textId="77777777" w:rsidR="00E623E5" w:rsidRPr="00735ADB" w:rsidRDefault="00E623E5" w:rsidP="00C26C37">
      <w:pPr>
        <w:spacing w:after="0" w:line="276" w:lineRule="auto"/>
        <w:rPr>
          <w:rFonts w:asciiTheme="minorHAnsi" w:hAnsiTheme="minorHAnsi"/>
          <w:color w:val="auto"/>
          <w:szCs w:val="22"/>
        </w:rPr>
      </w:pPr>
    </w:p>
    <w:p w14:paraId="40500E95" w14:textId="52CD0C61" w:rsidR="00C26C37" w:rsidRPr="00735ADB" w:rsidRDefault="00C26C37" w:rsidP="00735ADB">
      <w:pPr>
        <w:rPr>
          <w:rFonts w:asciiTheme="minorHAnsi" w:hAnsiTheme="minorHAnsi"/>
          <w:b/>
          <w:bCs/>
        </w:rPr>
      </w:pPr>
      <w:r w:rsidRPr="00735ADB">
        <w:rPr>
          <w:rFonts w:asciiTheme="minorHAnsi" w:hAnsiTheme="minorHAnsi"/>
          <w:b/>
          <w:bCs/>
        </w:rPr>
        <w:t>Value for money</w:t>
      </w:r>
    </w:p>
    <w:p w14:paraId="5A4C5161" w14:textId="77777777" w:rsidR="00C26C37" w:rsidRDefault="00C26C37" w:rsidP="00E623E5">
      <w:pPr>
        <w:spacing w:after="0" w:line="276" w:lineRule="auto"/>
        <w:jc w:val="both"/>
        <w:rPr>
          <w:rFonts w:asciiTheme="minorHAnsi" w:hAnsiTheme="minorHAnsi"/>
          <w:color w:val="auto"/>
          <w:szCs w:val="22"/>
        </w:rPr>
      </w:pPr>
      <w:r w:rsidRPr="00735ADB">
        <w:rPr>
          <w:rFonts w:asciiTheme="minorHAnsi" w:hAnsiTheme="minorHAnsi"/>
          <w:color w:val="auto"/>
          <w:szCs w:val="22"/>
        </w:rPr>
        <w:t>The report's consolidated Value for Money assessment (the four Es) finds early, output-level value from what was delivered — real but partial, unevenly distributed across the executing agencies, and not yet demonstrable at outcome level. Economy is sound where leverage and joint-mission models are in play; efficiency is genuinely mixed; effectiveness is evidenced at output level only; and equity is being built structurally, with two named gaps. Set against the delivered side is the opportunity cost of the roughly 40% of budget not yet spent. A confident whole-of-programme verdict is therefore not yet available and awaits both outcome-level evidence and a higher, more even conversion of budget into delivery in the programme's second half.</w:t>
      </w:r>
    </w:p>
    <w:p w14:paraId="0B999311" w14:textId="77777777" w:rsidR="00735ADB" w:rsidRPr="00735ADB" w:rsidRDefault="00735ADB" w:rsidP="00E623E5">
      <w:pPr>
        <w:spacing w:after="0" w:line="276" w:lineRule="auto"/>
        <w:jc w:val="both"/>
        <w:rPr>
          <w:rFonts w:asciiTheme="minorHAnsi" w:hAnsiTheme="minorHAnsi"/>
          <w:color w:val="auto"/>
          <w:szCs w:val="22"/>
        </w:rPr>
      </w:pPr>
    </w:p>
    <w:p w14:paraId="3CDADB9E" w14:textId="39D398EB" w:rsidR="00C26C37" w:rsidRPr="00735ADB" w:rsidRDefault="00735ADB" w:rsidP="00735ADB">
      <w:pPr>
        <w:rPr>
          <w:rFonts w:asciiTheme="minorHAnsi" w:hAnsiTheme="minorHAnsi"/>
          <w:b/>
          <w:bCs/>
        </w:rPr>
      </w:pPr>
      <w:r>
        <w:rPr>
          <w:rFonts w:asciiTheme="minorHAnsi" w:hAnsiTheme="minorHAnsi"/>
          <w:b/>
          <w:bCs/>
        </w:rPr>
        <w:t>WRP_SC5 Decisions</w:t>
      </w:r>
    </w:p>
    <w:p w14:paraId="33280D06" w14:textId="77777777" w:rsidR="00C26C37" w:rsidRDefault="00C26C37" w:rsidP="00C26C37">
      <w:pPr>
        <w:spacing w:after="0" w:line="276" w:lineRule="auto"/>
        <w:rPr>
          <w:rFonts w:asciiTheme="minorHAnsi" w:hAnsiTheme="minorHAnsi"/>
          <w:color w:val="auto"/>
          <w:szCs w:val="22"/>
        </w:rPr>
      </w:pPr>
      <w:r w:rsidRPr="00735ADB">
        <w:rPr>
          <w:rFonts w:asciiTheme="minorHAnsi" w:hAnsiTheme="minorHAnsi"/>
          <w:color w:val="auto"/>
          <w:szCs w:val="22"/>
        </w:rPr>
        <w:lastRenderedPageBreak/>
        <w:t>The meeting is invited to:</w:t>
      </w:r>
    </w:p>
    <w:p w14:paraId="28F157F9" w14:textId="77777777" w:rsidR="00735ADB" w:rsidRPr="00735ADB" w:rsidRDefault="00735ADB" w:rsidP="00C26C37">
      <w:pPr>
        <w:spacing w:after="0" w:line="276" w:lineRule="auto"/>
        <w:rPr>
          <w:rFonts w:asciiTheme="minorHAnsi" w:hAnsiTheme="minorHAnsi"/>
          <w:color w:val="auto"/>
          <w:szCs w:val="22"/>
        </w:rPr>
      </w:pPr>
    </w:p>
    <w:p w14:paraId="228863BE" w14:textId="3CFE2A60" w:rsidR="00C26C37" w:rsidRPr="00735ADB" w:rsidRDefault="00735ADB" w:rsidP="00735ADB">
      <w:pPr>
        <w:pStyle w:val="ListParagraph"/>
        <w:numPr>
          <w:ilvl w:val="0"/>
          <w:numId w:val="25"/>
        </w:numPr>
        <w:spacing w:after="0" w:line="272" w:lineRule="auto"/>
        <w:contextualSpacing w:val="0"/>
        <w:jc w:val="both"/>
        <w:rPr>
          <w:rFonts w:asciiTheme="minorHAnsi" w:hAnsiTheme="minorHAnsi"/>
          <w:color w:val="auto"/>
          <w:szCs w:val="22"/>
        </w:rPr>
      </w:pPr>
      <w:r w:rsidRPr="00735ADB">
        <w:rPr>
          <w:rFonts w:asciiTheme="minorHAnsi" w:hAnsiTheme="minorHAnsi"/>
          <w:b/>
          <w:bCs/>
          <w:color w:val="auto"/>
          <w:szCs w:val="22"/>
        </w:rPr>
        <w:t xml:space="preserve">SC5 Dec </w:t>
      </w:r>
      <w:r>
        <w:rPr>
          <w:rFonts w:asciiTheme="minorHAnsi" w:hAnsiTheme="minorHAnsi"/>
          <w:b/>
          <w:bCs/>
          <w:color w:val="auto"/>
          <w:szCs w:val="22"/>
        </w:rPr>
        <w:t>5</w:t>
      </w:r>
      <w:r w:rsidRPr="00735ADB">
        <w:rPr>
          <w:rFonts w:asciiTheme="minorHAnsi" w:hAnsiTheme="minorHAnsi"/>
          <w:b/>
          <w:bCs/>
          <w:color w:val="auto"/>
          <w:szCs w:val="22"/>
        </w:rPr>
        <w:t>.1.1</w:t>
      </w:r>
      <w:r w:rsidRPr="00735ADB">
        <w:rPr>
          <w:rFonts w:asciiTheme="minorHAnsi" w:hAnsiTheme="minorHAnsi"/>
          <w:color w:val="auto"/>
          <w:szCs w:val="22"/>
        </w:rPr>
        <w:t xml:space="preserve"> – </w:t>
      </w:r>
      <w:r w:rsidRPr="00735ADB">
        <w:rPr>
          <w:rFonts w:asciiTheme="minorHAnsi" w:hAnsiTheme="minorHAnsi"/>
          <w:b/>
          <w:bCs/>
          <w:color w:val="auto"/>
          <w:szCs w:val="22"/>
        </w:rPr>
        <w:t>NO</w:t>
      </w:r>
      <w:r>
        <w:rPr>
          <w:rFonts w:asciiTheme="minorHAnsi" w:hAnsiTheme="minorHAnsi"/>
          <w:b/>
          <w:bCs/>
          <w:color w:val="auto"/>
          <w:szCs w:val="22"/>
        </w:rPr>
        <w:t xml:space="preserve">TE </w:t>
      </w:r>
      <w:r w:rsidR="00C26C37" w:rsidRPr="00735ADB">
        <w:rPr>
          <w:rFonts w:asciiTheme="minorHAnsi" w:hAnsiTheme="minorHAnsi"/>
          <w:color w:val="auto"/>
          <w:szCs w:val="22"/>
        </w:rPr>
        <w:t>the WRP Six-Monthly Programme Report for 1 January to 30 June 2026, including the overall status of Amber, improving, the progress reported across the Key Result Areas, and the challenges and risks under active management;</w:t>
      </w:r>
    </w:p>
    <w:p w14:paraId="41F1C9DA" w14:textId="2E930613" w:rsidR="00C26C37" w:rsidRPr="00735ADB" w:rsidRDefault="00735ADB" w:rsidP="00735ADB">
      <w:pPr>
        <w:pStyle w:val="ListParagraph"/>
        <w:numPr>
          <w:ilvl w:val="0"/>
          <w:numId w:val="25"/>
        </w:numPr>
        <w:spacing w:after="0" w:line="272" w:lineRule="auto"/>
        <w:contextualSpacing w:val="0"/>
        <w:jc w:val="both"/>
        <w:rPr>
          <w:rFonts w:asciiTheme="minorHAnsi" w:hAnsiTheme="minorHAnsi"/>
          <w:color w:val="auto"/>
          <w:szCs w:val="22"/>
        </w:rPr>
      </w:pPr>
      <w:r w:rsidRPr="00735ADB">
        <w:rPr>
          <w:rFonts w:asciiTheme="minorHAnsi" w:hAnsiTheme="minorHAnsi"/>
          <w:b/>
          <w:bCs/>
          <w:color w:val="auto"/>
          <w:szCs w:val="22"/>
        </w:rPr>
        <w:t xml:space="preserve">SC5 Dec </w:t>
      </w:r>
      <w:r>
        <w:rPr>
          <w:rFonts w:asciiTheme="minorHAnsi" w:hAnsiTheme="minorHAnsi"/>
          <w:b/>
          <w:bCs/>
          <w:color w:val="auto"/>
          <w:szCs w:val="22"/>
        </w:rPr>
        <w:t>5</w:t>
      </w:r>
      <w:r w:rsidRPr="00735ADB">
        <w:rPr>
          <w:rFonts w:asciiTheme="minorHAnsi" w:hAnsiTheme="minorHAnsi"/>
          <w:b/>
          <w:bCs/>
          <w:color w:val="auto"/>
          <w:szCs w:val="22"/>
        </w:rPr>
        <w:t>.1.</w:t>
      </w:r>
      <w:r>
        <w:rPr>
          <w:rFonts w:asciiTheme="minorHAnsi" w:hAnsiTheme="minorHAnsi"/>
          <w:b/>
          <w:bCs/>
          <w:color w:val="auto"/>
          <w:szCs w:val="22"/>
        </w:rPr>
        <w:t>2</w:t>
      </w:r>
      <w:r w:rsidRPr="00735ADB">
        <w:rPr>
          <w:rFonts w:asciiTheme="minorHAnsi" w:hAnsiTheme="minorHAnsi"/>
          <w:color w:val="auto"/>
          <w:szCs w:val="22"/>
        </w:rPr>
        <w:t xml:space="preserve"> –</w:t>
      </w:r>
      <w:r w:rsidR="00C26C37" w:rsidRPr="00735ADB">
        <w:rPr>
          <w:rFonts w:asciiTheme="minorHAnsi" w:hAnsiTheme="minorHAnsi"/>
          <w:b/>
          <w:bCs/>
          <w:color w:val="auto"/>
          <w:szCs w:val="22"/>
        </w:rPr>
        <w:t xml:space="preserve">ENDORSE </w:t>
      </w:r>
      <w:r w:rsidR="00C26C37" w:rsidRPr="00735ADB">
        <w:rPr>
          <w:rFonts w:asciiTheme="minorHAnsi" w:hAnsiTheme="minorHAnsi"/>
          <w:color w:val="auto"/>
          <w:szCs w:val="22"/>
        </w:rPr>
        <w:t>the report as a candid and accurate account of programme progress for the period, on the understanding that outstanding figures and reconciliations will be finalised in the 2026 WRP Annual Report.</w:t>
      </w:r>
    </w:p>
    <w:p w14:paraId="25EA7876" w14:textId="77777777" w:rsidR="00735ADB" w:rsidRDefault="00735ADB" w:rsidP="00C26C37">
      <w:pPr>
        <w:spacing w:after="0"/>
        <w:rPr>
          <w:rFonts w:asciiTheme="minorHAnsi" w:hAnsiTheme="minorHAnsi"/>
          <w:i/>
          <w:iCs/>
          <w:color w:val="auto"/>
          <w:szCs w:val="22"/>
        </w:rPr>
      </w:pPr>
    </w:p>
    <w:p w14:paraId="73D9871C" w14:textId="4DC8A839" w:rsidR="00C26C37" w:rsidRPr="00735ADB" w:rsidRDefault="00C26C37" w:rsidP="00735ADB">
      <w:pPr>
        <w:spacing w:after="0"/>
        <w:jc w:val="both"/>
        <w:rPr>
          <w:rFonts w:asciiTheme="minorHAnsi" w:hAnsiTheme="minorHAnsi"/>
          <w:color w:val="auto"/>
          <w:szCs w:val="22"/>
        </w:rPr>
      </w:pPr>
      <w:r w:rsidRPr="00735ADB">
        <w:rPr>
          <w:rFonts w:asciiTheme="minorHAnsi" w:hAnsiTheme="minorHAnsi"/>
          <w:i/>
          <w:iCs/>
          <w:color w:val="auto"/>
          <w:szCs w:val="22"/>
        </w:rPr>
        <w:t>Reference document: WRP Six-Monthly Programme Report, 1 January – 30 June 2026 (provided separately).</w:t>
      </w:r>
    </w:p>
    <w:p w14:paraId="7D3EFAD0" w14:textId="77777777" w:rsidR="00F73F65" w:rsidRPr="00735ADB" w:rsidRDefault="00F73F65" w:rsidP="008B2428">
      <w:pPr>
        <w:spacing w:after="0" w:line="240" w:lineRule="auto"/>
        <w:rPr>
          <w:rStyle w:val="normaltextrun"/>
          <w:rFonts w:asciiTheme="minorHAnsi" w:eastAsia="Times New Roman" w:hAnsiTheme="minorHAnsi" w:cs="Times New Roman"/>
          <w:b/>
          <w:bCs/>
          <w:color w:val="auto"/>
          <w:kern w:val="0"/>
          <w:szCs w:val="22"/>
          <w14:ligatures w14:val="none"/>
        </w:rPr>
      </w:pPr>
    </w:p>
    <w:sectPr w:rsidR="00F73F65" w:rsidRPr="00735ADB" w:rsidSect="000E013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B813" w14:textId="77777777" w:rsidR="00DD06AE" w:rsidRDefault="00DD06AE" w:rsidP="003B31FD">
      <w:pPr>
        <w:spacing w:after="0" w:line="240" w:lineRule="auto"/>
      </w:pPr>
      <w:r>
        <w:separator/>
      </w:r>
    </w:p>
  </w:endnote>
  <w:endnote w:type="continuationSeparator" w:id="0">
    <w:p w14:paraId="231CA271" w14:textId="77777777" w:rsidR="00DD06AE" w:rsidRDefault="00DD06AE" w:rsidP="003B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B4E5" w14:textId="77777777" w:rsidR="00F3068E" w:rsidRDefault="00F30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9666" w14:textId="4675D14E" w:rsidR="000E0137" w:rsidRPr="000E0137" w:rsidRDefault="000E0137" w:rsidP="000E0137">
    <w:pPr>
      <w:spacing w:after="147"/>
      <w:ind w:left="3"/>
      <w:jc w:val="center"/>
    </w:pPr>
    <w:r w:rsidRPr="000E0137">
      <w:rPr>
        <w:rFonts w:ascii="Arial" w:eastAsia="Arial" w:hAnsi="Arial" w:cs="Arial"/>
        <w:color w:val="005493"/>
        <w:sz w:val="18"/>
      </w:rPr>
      <w:t>PO Box 240, Apia, Samoa    T +685 21929    F +685 20231    sprep@sprep.org</w:t>
    </w:r>
    <w:r w:rsidRPr="000E0137">
      <w:rPr>
        <w:rFonts w:ascii="Trebuchet MS" w:eastAsia="Trebuchet MS" w:hAnsi="Trebuchet MS" w:cs="Trebuchet MS"/>
        <w:color w:val="005493"/>
      </w:rPr>
      <w:t xml:space="preserve">   </w:t>
    </w:r>
    <w:hyperlink r:id="rId1">
      <w:r w:rsidRPr="000E0137">
        <w:rPr>
          <w:rFonts w:ascii="Arial" w:eastAsia="Arial" w:hAnsi="Arial" w:cs="Arial"/>
          <w:color w:val="005493"/>
          <w:sz w:val="18"/>
        </w:rPr>
        <w:t>www.sprep.org</w:t>
      </w:r>
    </w:hyperlink>
    <w:hyperlink r:id="rId2">
      <w:r w:rsidRPr="000E0137">
        <w:rPr>
          <w:rFonts w:ascii="Trebuchet MS" w:eastAsia="Trebuchet MS" w:hAnsi="Trebuchet MS" w:cs="Trebuchet MS"/>
        </w:rPr>
        <w:t xml:space="preserve"> </w:t>
      </w:r>
    </w:hyperlink>
  </w:p>
  <w:p w14:paraId="0B928327" w14:textId="77777777" w:rsidR="000E0137" w:rsidRPr="000E0137" w:rsidRDefault="000E0137" w:rsidP="000E0137">
    <w:pPr>
      <w:spacing w:after="0"/>
    </w:pPr>
    <w:r w:rsidRPr="000E0137">
      <w:rPr>
        <w:rFonts w:ascii="Arial" w:eastAsia="Arial" w:hAnsi="Arial" w:cs="Arial"/>
        <w:color w:val="C67838"/>
        <w:sz w:val="18"/>
      </w:rPr>
      <w:t>A resilient Pacific environment sustaining our livelihoods and natural heritage in harmony with our cultures.</w:t>
    </w:r>
    <w:r w:rsidRPr="000E0137">
      <w:rPr>
        <w:rFonts w:ascii="Trebuchet MS" w:eastAsia="Trebuchet MS" w:hAnsi="Trebuchet MS" w:cs="Trebuchet MS"/>
      </w:rPr>
      <w:t xml:space="preserve"> </w:t>
    </w:r>
  </w:p>
  <w:p w14:paraId="2D5BA3A3" w14:textId="555C0698" w:rsidR="000E0137" w:rsidRDefault="000E0137">
    <w:pPr>
      <w:pStyle w:val="Footer"/>
    </w:pPr>
  </w:p>
  <w:p w14:paraId="157FD616" w14:textId="77777777" w:rsidR="000E0137" w:rsidRDefault="000E0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B84F" w14:textId="77777777" w:rsidR="00F3068E" w:rsidRDefault="00F30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690B4" w14:textId="77777777" w:rsidR="00DD06AE" w:rsidRDefault="00DD06AE" w:rsidP="003B31FD">
      <w:pPr>
        <w:spacing w:after="0" w:line="240" w:lineRule="auto"/>
      </w:pPr>
      <w:r>
        <w:separator/>
      </w:r>
    </w:p>
  </w:footnote>
  <w:footnote w:type="continuationSeparator" w:id="0">
    <w:p w14:paraId="65A1B87A" w14:textId="77777777" w:rsidR="00DD06AE" w:rsidRDefault="00DD06AE" w:rsidP="003B3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01A6" w14:textId="77777777" w:rsidR="00F3068E" w:rsidRDefault="00F30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329F" w14:textId="6FDCFE89" w:rsidR="003B31FD" w:rsidRDefault="00867ADB" w:rsidP="00867ADB">
    <w:pPr>
      <w:pStyle w:val="Header"/>
      <w:tabs>
        <w:tab w:val="clear" w:pos="9026"/>
      </w:tabs>
      <w:ind w:left="-1418" w:right="-755"/>
    </w:pPr>
    <w:r>
      <w:rPr>
        <w:noProof/>
      </w:rPr>
      <w:drawing>
        <wp:inline distT="0" distB="0" distL="0" distR="0" wp14:anchorId="65D2AEF6" wp14:editId="279A72FA">
          <wp:extent cx="7537450" cy="1414066"/>
          <wp:effectExtent l="0" t="0" r="6350" b="0"/>
          <wp:docPr id="875110104" name="Picture 1" descr="A white surface with a pin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92" name="Picture 1" descr="A white surface with a pin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5256" cy="1439919"/>
                  </a:xfrm>
                  <a:prstGeom prst="rect">
                    <a:avLst/>
                  </a:prstGeom>
                </pic:spPr>
              </pic:pic>
            </a:graphicData>
          </a:graphic>
        </wp:inline>
      </w:drawing>
    </w:r>
    <w:r w:rsidR="003B31FD">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5805" w14:textId="77777777" w:rsidR="00F3068E" w:rsidRDefault="00F30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A47"/>
    <w:multiLevelType w:val="hybridMultilevel"/>
    <w:tmpl w:val="52667B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BA2109"/>
    <w:multiLevelType w:val="hybridMultilevel"/>
    <w:tmpl w:val="05D8A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462B09"/>
    <w:multiLevelType w:val="hybridMultilevel"/>
    <w:tmpl w:val="186A0A04"/>
    <w:lvl w:ilvl="0" w:tplc="BB482FC0">
      <w:start w:val="1"/>
      <w:numFmt w:val="bullet"/>
      <w:lvlText w:val="•"/>
      <w:lvlJc w:val="left"/>
      <w:pPr>
        <w:ind w:left="360" w:hanging="200"/>
      </w:pPr>
      <w:rPr>
        <w:color w:val="auto"/>
      </w:rPr>
    </w:lvl>
    <w:lvl w:ilvl="1" w:tplc="2C866AB6">
      <w:numFmt w:val="decimal"/>
      <w:lvlText w:val=""/>
      <w:lvlJc w:val="left"/>
    </w:lvl>
    <w:lvl w:ilvl="2" w:tplc="5540D8BC">
      <w:numFmt w:val="decimal"/>
      <w:lvlText w:val=""/>
      <w:lvlJc w:val="left"/>
    </w:lvl>
    <w:lvl w:ilvl="3" w:tplc="495E2504">
      <w:numFmt w:val="decimal"/>
      <w:lvlText w:val=""/>
      <w:lvlJc w:val="left"/>
    </w:lvl>
    <w:lvl w:ilvl="4" w:tplc="7F322A44">
      <w:numFmt w:val="decimal"/>
      <w:lvlText w:val=""/>
      <w:lvlJc w:val="left"/>
    </w:lvl>
    <w:lvl w:ilvl="5" w:tplc="C2E8B1DC">
      <w:numFmt w:val="decimal"/>
      <w:lvlText w:val=""/>
      <w:lvlJc w:val="left"/>
    </w:lvl>
    <w:lvl w:ilvl="6" w:tplc="CBEA7444">
      <w:numFmt w:val="decimal"/>
      <w:lvlText w:val=""/>
      <w:lvlJc w:val="left"/>
    </w:lvl>
    <w:lvl w:ilvl="7" w:tplc="EEDCF6B8">
      <w:numFmt w:val="decimal"/>
      <w:lvlText w:val=""/>
      <w:lvlJc w:val="left"/>
    </w:lvl>
    <w:lvl w:ilvl="8" w:tplc="B1742572">
      <w:numFmt w:val="decimal"/>
      <w:lvlText w:val=""/>
      <w:lvlJc w:val="left"/>
    </w:lvl>
  </w:abstractNum>
  <w:abstractNum w:abstractNumId="3" w15:restartNumberingAfterBreak="0">
    <w:nsid w:val="051066EC"/>
    <w:multiLevelType w:val="hybridMultilevel"/>
    <w:tmpl w:val="4BF44862"/>
    <w:lvl w:ilvl="0" w:tplc="1A1C05EE">
      <w:start w:val="1"/>
      <w:numFmt w:val="bullet"/>
      <w:lvlText w:val=""/>
      <w:lvlJc w:val="left"/>
      <w:pPr>
        <w:ind w:left="360" w:hanging="20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867851"/>
    <w:multiLevelType w:val="multilevel"/>
    <w:tmpl w:val="00A2AAE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C32A95"/>
    <w:multiLevelType w:val="multilevel"/>
    <w:tmpl w:val="A61C096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136D6380"/>
    <w:multiLevelType w:val="multilevel"/>
    <w:tmpl w:val="C7B64938"/>
    <w:lvl w:ilvl="0">
      <w:start w:val="2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C4E2257"/>
    <w:multiLevelType w:val="multilevel"/>
    <w:tmpl w:val="5914CD1E"/>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26A5520E"/>
    <w:multiLevelType w:val="multilevel"/>
    <w:tmpl w:val="6B564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45CBF"/>
    <w:multiLevelType w:val="hybridMultilevel"/>
    <w:tmpl w:val="D9E23456"/>
    <w:lvl w:ilvl="0" w:tplc="1A1C05EE">
      <w:start w:val="1"/>
      <w:numFmt w:val="bullet"/>
      <w:lvlText w:val=""/>
      <w:lvlJc w:val="left"/>
      <w:pPr>
        <w:ind w:left="360" w:hanging="20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180275B"/>
    <w:multiLevelType w:val="multilevel"/>
    <w:tmpl w:val="79C6193C"/>
    <w:lvl w:ilvl="0">
      <w:start w:val="2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D3E45FD"/>
    <w:multiLevelType w:val="multilevel"/>
    <w:tmpl w:val="6B564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121B40"/>
    <w:multiLevelType w:val="multilevel"/>
    <w:tmpl w:val="E2FA23FC"/>
    <w:lvl w:ilvl="0">
      <w:start w:val="2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41FC1188"/>
    <w:multiLevelType w:val="multilevel"/>
    <w:tmpl w:val="7856F342"/>
    <w:lvl w:ilvl="0">
      <w:start w:val="1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47F95B07"/>
    <w:multiLevelType w:val="multilevel"/>
    <w:tmpl w:val="E1AAEA10"/>
    <w:lvl w:ilvl="0">
      <w:start w:val="1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A031F37"/>
    <w:multiLevelType w:val="multilevel"/>
    <w:tmpl w:val="902C772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C842E5"/>
    <w:multiLevelType w:val="multilevel"/>
    <w:tmpl w:val="FDA8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E82009"/>
    <w:multiLevelType w:val="multilevel"/>
    <w:tmpl w:val="6F7203CA"/>
    <w:lvl w:ilvl="0">
      <w:start w:val="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55DA419E"/>
    <w:multiLevelType w:val="multilevel"/>
    <w:tmpl w:val="E14266A0"/>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BD7820"/>
    <w:multiLevelType w:val="multilevel"/>
    <w:tmpl w:val="6DE083C0"/>
    <w:lvl w:ilvl="0">
      <w:start w:val="1"/>
      <w:numFmt w:val="decimal"/>
      <w:lvlText w:val="%1."/>
      <w:lvlJc w:val="left"/>
      <w:pPr>
        <w:tabs>
          <w:tab w:val="num" w:pos="720"/>
        </w:tabs>
        <w:ind w:left="720" w:hanging="360"/>
      </w:pPr>
      <w:rPr>
        <w:rFonts w:ascii="Aptos" w:eastAsiaTheme="majorEastAsia" w:hAnsi="Aptos" w:cs="Times New Roman"/>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D038F5"/>
    <w:multiLevelType w:val="multilevel"/>
    <w:tmpl w:val="6F7203CA"/>
    <w:lvl w:ilvl="0">
      <w:start w:val="1"/>
      <w:numFmt w:val="decimal"/>
      <w:lvlText w:val="%1."/>
      <w:lvlJc w:val="left"/>
      <w:pPr>
        <w:tabs>
          <w:tab w:val="num" w:pos="720"/>
        </w:tabs>
        <w:ind w:left="720" w:hanging="360"/>
      </w:pPr>
      <w:rPr>
        <w:rFonts w:hint="default"/>
        <w:b w:val="0"/>
        <w:b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DC75296"/>
    <w:multiLevelType w:val="multilevel"/>
    <w:tmpl w:val="F31072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5E077F36"/>
    <w:multiLevelType w:val="multilevel"/>
    <w:tmpl w:val="F82689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CF0837"/>
    <w:multiLevelType w:val="multilevel"/>
    <w:tmpl w:val="19C8884E"/>
    <w:lvl w:ilvl="0">
      <w:start w:val="3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6496194E"/>
    <w:multiLevelType w:val="multilevel"/>
    <w:tmpl w:val="C350899C"/>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65BC1F8F"/>
    <w:multiLevelType w:val="multilevel"/>
    <w:tmpl w:val="D884E8C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6" w15:restartNumberingAfterBreak="0">
    <w:nsid w:val="69582E2C"/>
    <w:multiLevelType w:val="multilevel"/>
    <w:tmpl w:val="F948E2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367655"/>
    <w:multiLevelType w:val="multilevel"/>
    <w:tmpl w:val="64C8E5C4"/>
    <w:lvl w:ilvl="0">
      <w:start w:val="1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784F52CE"/>
    <w:multiLevelType w:val="multilevel"/>
    <w:tmpl w:val="6F7203CA"/>
    <w:lvl w:ilvl="0">
      <w:start w:val="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7E0431C4"/>
    <w:multiLevelType w:val="multilevel"/>
    <w:tmpl w:val="A2EA9A58"/>
    <w:lvl w:ilvl="0">
      <w:start w:val="2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946276245">
    <w:abstractNumId w:val="19"/>
  </w:num>
  <w:num w:numId="2" w16cid:durableId="318074588">
    <w:abstractNumId w:val="16"/>
  </w:num>
  <w:num w:numId="3" w16cid:durableId="1704555526">
    <w:abstractNumId w:val="11"/>
  </w:num>
  <w:num w:numId="4" w16cid:durableId="1531410789">
    <w:abstractNumId w:val="26"/>
  </w:num>
  <w:num w:numId="5" w16cid:durableId="1639645881">
    <w:abstractNumId w:val="22"/>
  </w:num>
  <w:num w:numId="6" w16cid:durableId="2012758934">
    <w:abstractNumId w:val="7"/>
  </w:num>
  <w:num w:numId="7" w16cid:durableId="1210723629">
    <w:abstractNumId w:val="5"/>
  </w:num>
  <w:num w:numId="8" w16cid:durableId="656805229">
    <w:abstractNumId w:val="14"/>
  </w:num>
  <w:num w:numId="9" w16cid:durableId="274480878">
    <w:abstractNumId w:val="13"/>
  </w:num>
  <w:num w:numId="10" w16cid:durableId="1982416065">
    <w:abstractNumId w:val="24"/>
  </w:num>
  <w:num w:numId="11" w16cid:durableId="1265504758">
    <w:abstractNumId w:val="27"/>
  </w:num>
  <w:num w:numId="12" w16cid:durableId="79329698">
    <w:abstractNumId w:val="12"/>
  </w:num>
  <w:num w:numId="13" w16cid:durableId="2131892998">
    <w:abstractNumId w:val="6"/>
  </w:num>
  <w:num w:numId="14" w16cid:durableId="606961606">
    <w:abstractNumId w:val="29"/>
  </w:num>
  <w:num w:numId="15" w16cid:durableId="1373770037">
    <w:abstractNumId w:val="10"/>
  </w:num>
  <w:num w:numId="16" w16cid:durableId="328489593">
    <w:abstractNumId w:val="23"/>
  </w:num>
  <w:num w:numId="17" w16cid:durableId="2001997947">
    <w:abstractNumId w:val="4"/>
  </w:num>
  <w:num w:numId="18" w16cid:durableId="1486976006">
    <w:abstractNumId w:val="25"/>
  </w:num>
  <w:num w:numId="19" w16cid:durableId="49617860">
    <w:abstractNumId w:val="15"/>
  </w:num>
  <w:num w:numId="20" w16cid:durableId="333194755">
    <w:abstractNumId w:val="21"/>
  </w:num>
  <w:num w:numId="21" w16cid:durableId="1355617927">
    <w:abstractNumId w:val="0"/>
  </w:num>
  <w:num w:numId="22" w16cid:durableId="2060200450">
    <w:abstractNumId w:val="18"/>
  </w:num>
  <w:num w:numId="23" w16cid:durableId="1807384418">
    <w:abstractNumId w:val="8"/>
  </w:num>
  <w:num w:numId="24" w16cid:durableId="740710179">
    <w:abstractNumId w:val="2"/>
    <w:lvlOverride w:ilvl="0">
      <w:startOverride w:val="1"/>
    </w:lvlOverride>
  </w:num>
  <w:num w:numId="25" w16cid:durableId="1780636032">
    <w:abstractNumId w:val="20"/>
  </w:num>
  <w:num w:numId="26" w16cid:durableId="1452626190">
    <w:abstractNumId w:val="17"/>
  </w:num>
  <w:num w:numId="27" w16cid:durableId="243760900">
    <w:abstractNumId w:val="1"/>
  </w:num>
  <w:num w:numId="28" w16cid:durableId="950626921">
    <w:abstractNumId w:val="2"/>
  </w:num>
  <w:num w:numId="29" w16cid:durableId="1133525384">
    <w:abstractNumId w:val="9"/>
  </w:num>
  <w:num w:numId="30" w16cid:durableId="2109500773">
    <w:abstractNumId w:val="3"/>
  </w:num>
  <w:num w:numId="31" w16cid:durableId="521673031">
    <w:abstractNumId w:val="28"/>
  </w:num>
  <w:num w:numId="32" w16cid:durableId="149922388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FD"/>
    <w:rsid w:val="000011D4"/>
    <w:rsid w:val="00025269"/>
    <w:rsid w:val="00026F6A"/>
    <w:rsid w:val="00047B37"/>
    <w:rsid w:val="00087CE0"/>
    <w:rsid w:val="00092DCB"/>
    <w:rsid w:val="00094341"/>
    <w:rsid w:val="000A2C88"/>
    <w:rsid w:val="000A5A78"/>
    <w:rsid w:val="000B1339"/>
    <w:rsid w:val="000B5F7E"/>
    <w:rsid w:val="000B6E69"/>
    <w:rsid w:val="000B7F2C"/>
    <w:rsid w:val="000C6AD0"/>
    <w:rsid w:val="000C77A4"/>
    <w:rsid w:val="000C7B7B"/>
    <w:rsid w:val="000E0137"/>
    <w:rsid w:val="000E0E87"/>
    <w:rsid w:val="00104800"/>
    <w:rsid w:val="001055A9"/>
    <w:rsid w:val="001156EA"/>
    <w:rsid w:val="001162E8"/>
    <w:rsid w:val="00123EA6"/>
    <w:rsid w:val="00142AFB"/>
    <w:rsid w:val="00151978"/>
    <w:rsid w:val="00152393"/>
    <w:rsid w:val="001627D6"/>
    <w:rsid w:val="00162BC3"/>
    <w:rsid w:val="001663B3"/>
    <w:rsid w:val="001815D1"/>
    <w:rsid w:val="001959D4"/>
    <w:rsid w:val="001D2831"/>
    <w:rsid w:val="001F0179"/>
    <w:rsid w:val="002063B2"/>
    <w:rsid w:val="002228DF"/>
    <w:rsid w:val="00226744"/>
    <w:rsid w:val="00230FDB"/>
    <w:rsid w:val="0026305C"/>
    <w:rsid w:val="00282296"/>
    <w:rsid w:val="00290A94"/>
    <w:rsid w:val="002917C8"/>
    <w:rsid w:val="002929B1"/>
    <w:rsid w:val="002B227A"/>
    <w:rsid w:val="002D37BC"/>
    <w:rsid w:val="002E2B51"/>
    <w:rsid w:val="002E3F49"/>
    <w:rsid w:val="002F6A9B"/>
    <w:rsid w:val="0034194A"/>
    <w:rsid w:val="00344826"/>
    <w:rsid w:val="003559EE"/>
    <w:rsid w:val="00356B0C"/>
    <w:rsid w:val="003B31FD"/>
    <w:rsid w:val="003E15B9"/>
    <w:rsid w:val="003E2E36"/>
    <w:rsid w:val="003F5B4F"/>
    <w:rsid w:val="003F7AEC"/>
    <w:rsid w:val="00401399"/>
    <w:rsid w:val="0040214E"/>
    <w:rsid w:val="00414861"/>
    <w:rsid w:val="00423EDA"/>
    <w:rsid w:val="00427720"/>
    <w:rsid w:val="0043583A"/>
    <w:rsid w:val="00442FCB"/>
    <w:rsid w:val="00467025"/>
    <w:rsid w:val="004753CE"/>
    <w:rsid w:val="00480A08"/>
    <w:rsid w:val="004830A8"/>
    <w:rsid w:val="004C4F4C"/>
    <w:rsid w:val="004D0DB1"/>
    <w:rsid w:val="004D3FFC"/>
    <w:rsid w:val="004E6E2E"/>
    <w:rsid w:val="004F43AE"/>
    <w:rsid w:val="004F7F04"/>
    <w:rsid w:val="00504DC3"/>
    <w:rsid w:val="00516E67"/>
    <w:rsid w:val="00522B43"/>
    <w:rsid w:val="00531FB5"/>
    <w:rsid w:val="005325C2"/>
    <w:rsid w:val="00546FB4"/>
    <w:rsid w:val="005536A1"/>
    <w:rsid w:val="0059019A"/>
    <w:rsid w:val="005B47F2"/>
    <w:rsid w:val="005B6276"/>
    <w:rsid w:val="005C2F90"/>
    <w:rsid w:val="005C5FCA"/>
    <w:rsid w:val="005D0297"/>
    <w:rsid w:val="005D7C7D"/>
    <w:rsid w:val="005E744A"/>
    <w:rsid w:val="00642548"/>
    <w:rsid w:val="00642692"/>
    <w:rsid w:val="00672223"/>
    <w:rsid w:val="00681AA2"/>
    <w:rsid w:val="00691D43"/>
    <w:rsid w:val="006A0B59"/>
    <w:rsid w:val="006A2454"/>
    <w:rsid w:val="006C36D4"/>
    <w:rsid w:val="006C54B5"/>
    <w:rsid w:val="006E0B72"/>
    <w:rsid w:val="006F785A"/>
    <w:rsid w:val="0071158D"/>
    <w:rsid w:val="007141CA"/>
    <w:rsid w:val="00723DA3"/>
    <w:rsid w:val="00723E30"/>
    <w:rsid w:val="00724BDD"/>
    <w:rsid w:val="00735ADB"/>
    <w:rsid w:val="00736EEC"/>
    <w:rsid w:val="007A08C7"/>
    <w:rsid w:val="007A5692"/>
    <w:rsid w:val="007B027E"/>
    <w:rsid w:val="007C0E09"/>
    <w:rsid w:val="007C72D0"/>
    <w:rsid w:val="0080611F"/>
    <w:rsid w:val="008148D0"/>
    <w:rsid w:val="008159C7"/>
    <w:rsid w:val="0083061B"/>
    <w:rsid w:val="00867ADB"/>
    <w:rsid w:val="008937E0"/>
    <w:rsid w:val="00897379"/>
    <w:rsid w:val="008A23CC"/>
    <w:rsid w:val="008B0075"/>
    <w:rsid w:val="008B2428"/>
    <w:rsid w:val="008C2CA3"/>
    <w:rsid w:val="008E49CB"/>
    <w:rsid w:val="008E7881"/>
    <w:rsid w:val="00943091"/>
    <w:rsid w:val="00957900"/>
    <w:rsid w:val="009909C3"/>
    <w:rsid w:val="00997A1E"/>
    <w:rsid w:val="009A084D"/>
    <w:rsid w:val="009B07DD"/>
    <w:rsid w:val="009B788D"/>
    <w:rsid w:val="009D7ED9"/>
    <w:rsid w:val="00A0044F"/>
    <w:rsid w:val="00A02DE0"/>
    <w:rsid w:val="00A27412"/>
    <w:rsid w:val="00A35E32"/>
    <w:rsid w:val="00A374FA"/>
    <w:rsid w:val="00A962CD"/>
    <w:rsid w:val="00AA4C21"/>
    <w:rsid w:val="00AE627D"/>
    <w:rsid w:val="00AF35FB"/>
    <w:rsid w:val="00B009F5"/>
    <w:rsid w:val="00B35B41"/>
    <w:rsid w:val="00B411D3"/>
    <w:rsid w:val="00B53129"/>
    <w:rsid w:val="00BB4CCB"/>
    <w:rsid w:val="00BC3C8F"/>
    <w:rsid w:val="00C07A1C"/>
    <w:rsid w:val="00C1CECB"/>
    <w:rsid w:val="00C23520"/>
    <w:rsid w:val="00C26C37"/>
    <w:rsid w:val="00C50246"/>
    <w:rsid w:val="00C65C3D"/>
    <w:rsid w:val="00C80933"/>
    <w:rsid w:val="00C92F9A"/>
    <w:rsid w:val="00CA0ACF"/>
    <w:rsid w:val="00CA140D"/>
    <w:rsid w:val="00CA307E"/>
    <w:rsid w:val="00CB4F0B"/>
    <w:rsid w:val="00CC2110"/>
    <w:rsid w:val="00CF01EE"/>
    <w:rsid w:val="00CF0333"/>
    <w:rsid w:val="00D24565"/>
    <w:rsid w:val="00D24E7D"/>
    <w:rsid w:val="00D33100"/>
    <w:rsid w:val="00D37174"/>
    <w:rsid w:val="00D46ABA"/>
    <w:rsid w:val="00D52C63"/>
    <w:rsid w:val="00D54438"/>
    <w:rsid w:val="00D54B6D"/>
    <w:rsid w:val="00D76494"/>
    <w:rsid w:val="00D841E2"/>
    <w:rsid w:val="00D87272"/>
    <w:rsid w:val="00DC43B9"/>
    <w:rsid w:val="00DD06AE"/>
    <w:rsid w:val="00DD2779"/>
    <w:rsid w:val="00DE06B4"/>
    <w:rsid w:val="00DE09DA"/>
    <w:rsid w:val="00E024FF"/>
    <w:rsid w:val="00E047A1"/>
    <w:rsid w:val="00E45B0C"/>
    <w:rsid w:val="00E54672"/>
    <w:rsid w:val="00E623E5"/>
    <w:rsid w:val="00E900EB"/>
    <w:rsid w:val="00E9062C"/>
    <w:rsid w:val="00E9215A"/>
    <w:rsid w:val="00EB083A"/>
    <w:rsid w:val="00EB7075"/>
    <w:rsid w:val="00EC121F"/>
    <w:rsid w:val="00F00D36"/>
    <w:rsid w:val="00F20215"/>
    <w:rsid w:val="00F3068E"/>
    <w:rsid w:val="00F35477"/>
    <w:rsid w:val="00F37771"/>
    <w:rsid w:val="00F61C44"/>
    <w:rsid w:val="00F73F65"/>
    <w:rsid w:val="00F87600"/>
    <w:rsid w:val="00F876FE"/>
    <w:rsid w:val="00FA2FC1"/>
    <w:rsid w:val="00FC4161"/>
    <w:rsid w:val="00FD3EF8"/>
    <w:rsid w:val="00FD54E8"/>
    <w:rsid w:val="00FE224B"/>
    <w:rsid w:val="01EC62C0"/>
    <w:rsid w:val="03DB74A0"/>
    <w:rsid w:val="08AD1C08"/>
    <w:rsid w:val="09A9F79C"/>
    <w:rsid w:val="09B06DA0"/>
    <w:rsid w:val="0BED5F2E"/>
    <w:rsid w:val="0C06C6EC"/>
    <w:rsid w:val="0E540887"/>
    <w:rsid w:val="120D0DB2"/>
    <w:rsid w:val="12166534"/>
    <w:rsid w:val="1428FF46"/>
    <w:rsid w:val="157629C5"/>
    <w:rsid w:val="19350B9C"/>
    <w:rsid w:val="19A6408D"/>
    <w:rsid w:val="1A3B6235"/>
    <w:rsid w:val="1A3CC133"/>
    <w:rsid w:val="1B69B361"/>
    <w:rsid w:val="1CD53C00"/>
    <w:rsid w:val="20ABC795"/>
    <w:rsid w:val="23B240DD"/>
    <w:rsid w:val="25853A60"/>
    <w:rsid w:val="2633AA69"/>
    <w:rsid w:val="28636046"/>
    <w:rsid w:val="2A798FA9"/>
    <w:rsid w:val="2CE86E0E"/>
    <w:rsid w:val="2E99D9DA"/>
    <w:rsid w:val="2F1C53C4"/>
    <w:rsid w:val="305CAA0C"/>
    <w:rsid w:val="30712CD0"/>
    <w:rsid w:val="3141E982"/>
    <w:rsid w:val="34121A67"/>
    <w:rsid w:val="35A8AAF8"/>
    <w:rsid w:val="36FCF472"/>
    <w:rsid w:val="3CA9B2CA"/>
    <w:rsid w:val="4100049A"/>
    <w:rsid w:val="452D506A"/>
    <w:rsid w:val="474EFFF1"/>
    <w:rsid w:val="49E0608E"/>
    <w:rsid w:val="4C872CE7"/>
    <w:rsid w:val="4D9B3BA2"/>
    <w:rsid w:val="4DA988C4"/>
    <w:rsid w:val="4F3C26D6"/>
    <w:rsid w:val="50C61F23"/>
    <w:rsid w:val="51292CE0"/>
    <w:rsid w:val="51AC99FD"/>
    <w:rsid w:val="51D42F4C"/>
    <w:rsid w:val="5289F100"/>
    <w:rsid w:val="54B5D123"/>
    <w:rsid w:val="55A263FE"/>
    <w:rsid w:val="55E25F6B"/>
    <w:rsid w:val="55F35955"/>
    <w:rsid w:val="581E7B14"/>
    <w:rsid w:val="5A025DAC"/>
    <w:rsid w:val="5D6B94EC"/>
    <w:rsid w:val="5DB32925"/>
    <w:rsid w:val="5E2B3DDC"/>
    <w:rsid w:val="60FF0D2A"/>
    <w:rsid w:val="62878168"/>
    <w:rsid w:val="63046789"/>
    <w:rsid w:val="63CAB040"/>
    <w:rsid w:val="6973EBC6"/>
    <w:rsid w:val="699EE2C6"/>
    <w:rsid w:val="69B0ED91"/>
    <w:rsid w:val="6C1DB701"/>
    <w:rsid w:val="6CB01B99"/>
    <w:rsid w:val="6FBB31BB"/>
    <w:rsid w:val="731EE41B"/>
    <w:rsid w:val="7553EE7B"/>
    <w:rsid w:val="76D3D122"/>
    <w:rsid w:val="7B4FF0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A96EC"/>
  <w15:chartTrackingRefBased/>
  <w15:docId w15:val="{9F65D6DE-9B43-4628-8C60-72C12A5E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AE"/>
    <w:pPr>
      <w:spacing w:line="259" w:lineRule="auto"/>
    </w:pPr>
    <w:rPr>
      <w:rFonts w:ascii="Calibri" w:eastAsia="Calibri" w:hAnsi="Calibri" w:cs="Calibri"/>
      <w:color w:val="000000"/>
      <w:sz w:val="22"/>
      <w:lang w:eastAsia="en-AU"/>
    </w:rPr>
  </w:style>
  <w:style w:type="paragraph" w:styleId="Heading1">
    <w:name w:val="heading 1"/>
    <w:basedOn w:val="Normal"/>
    <w:next w:val="Normal"/>
    <w:link w:val="Heading1Char"/>
    <w:uiPriority w:val="9"/>
    <w:qFormat/>
    <w:rsid w:val="003B3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1FD"/>
    <w:rPr>
      <w:rFonts w:eastAsiaTheme="majorEastAsia" w:cstheme="majorBidi"/>
      <w:color w:val="272727" w:themeColor="text1" w:themeTint="D8"/>
    </w:rPr>
  </w:style>
  <w:style w:type="paragraph" w:styleId="Title">
    <w:name w:val="Title"/>
    <w:basedOn w:val="Normal"/>
    <w:next w:val="Normal"/>
    <w:link w:val="TitleChar"/>
    <w:uiPriority w:val="10"/>
    <w:qFormat/>
    <w:rsid w:val="003B3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1FD"/>
    <w:pPr>
      <w:spacing w:before="160"/>
      <w:jc w:val="center"/>
    </w:pPr>
    <w:rPr>
      <w:i/>
      <w:iCs/>
      <w:color w:val="404040" w:themeColor="text1" w:themeTint="BF"/>
    </w:rPr>
  </w:style>
  <w:style w:type="character" w:customStyle="1" w:styleId="QuoteChar">
    <w:name w:val="Quote Char"/>
    <w:basedOn w:val="DefaultParagraphFont"/>
    <w:link w:val="Quote"/>
    <w:uiPriority w:val="29"/>
    <w:rsid w:val="003B31FD"/>
    <w:rPr>
      <w:i/>
      <w:iCs/>
      <w:color w:val="404040" w:themeColor="text1" w:themeTint="BF"/>
    </w:rPr>
  </w:style>
  <w:style w:type="paragraph" w:styleId="ListParagraph">
    <w:name w:val="List Paragraph"/>
    <w:basedOn w:val="Normal"/>
    <w:qFormat/>
    <w:rsid w:val="003B31FD"/>
    <w:pPr>
      <w:ind w:left="720"/>
      <w:contextualSpacing/>
    </w:pPr>
  </w:style>
  <w:style w:type="character" w:styleId="IntenseEmphasis">
    <w:name w:val="Intense Emphasis"/>
    <w:basedOn w:val="DefaultParagraphFont"/>
    <w:uiPriority w:val="21"/>
    <w:qFormat/>
    <w:rsid w:val="003B31FD"/>
    <w:rPr>
      <w:i/>
      <w:iCs/>
      <w:color w:val="0F4761" w:themeColor="accent1" w:themeShade="BF"/>
    </w:rPr>
  </w:style>
  <w:style w:type="paragraph" w:styleId="IntenseQuote">
    <w:name w:val="Intense Quote"/>
    <w:basedOn w:val="Normal"/>
    <w:next w:val="Normal"/>
    <w:link w:val="IntenseQuoteChar"/>
    <w:uiPriority w:val="30"/>
    <w:qFormat/>
    <w:rsid w:val="003B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1FD"/>
    <w:rPr>
      <w:i/>
      <w:iCs/>
      <w:color w:val="0F4761" w:themeColor="accent1" w:themeShade="BF"/>
    </w:rPr>
  </w:style>
  <w:style w:type="character" w:styleId="IntenseReference">
    <w:name w:val="Intense Reference"/>
    <w:basedOn w:val="DefaultParagraphFont"/>
    <w:uiPriority w:val="32"/>
    <w:qFormat/>
    <w:rsid w:val="003B31FD"/>
    <w:rPr>
      <w:b/>
      <w:bCs/>
      <w:smallCaps/>
      <w:color w:val="0F4761" w:themeColor="accent1" w:themeShade="BF"/>
      <w:spacing w:val="5"/>
    </w:rPr>
  </w:style>
  <w:style w:type="paragraph" w:styleId="Header">
    <w:name w:val="header"/>
    <w:basedOn w:val="Normal"/>
    <w:link w:val="HeaderChar"/>
    <w:uiPriority w:val="99"/>
    <w:unhideWhenUsed/>
    <w:rsid w:val="003B3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1FD"/>
  </w:style>
  <w:style w:type="paragraph" w:styleId="Footer">
    <w:name w:val="footer"/>
    <w:basedOn w:val="Normal"/>
    <w:link w:val="FooterChar"/>
    <w:uiPriority w:val="99"/>
    <w:unhideWhenUsed/>
    <w:rsid w:val="003B3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1FD"/>
  </w:style>
  <w:style w:type="table" w:customStyle="1" w:styleId="TableGrid">
    <w:name w:val="TableGrid"/>
    <w:rsid w:val="004F43AE"/>
    <w:pPr>
      <w:spacing w:after="0" w:line="240" w:lineRule="auto"/>
    </w:pPr>
    <w:rPr>
      <w:rFonts w:eastAsiaTheme="minorEastAsia"/>
      <w:lang w:eastAsia="en-AU"/>
    </w:rPr>
    <w:tblPr>
      <w:tblCellMar>
        <w:top w:w="0" w:type="dxa"/>
        <w:left w:w="0" w:type="dxa"/>
        <w:bottom w:w="0" w:type="dxa"/>
        <w:right w:w="0" w:type="dxa"/>
      </w:tblCellMar>
    </w:tblPr>
  </w:style>
  <w:style w:type="paragraph" w:styleId="NormalWeb">
    <w:name w:val="Normal (Web)"/>
    <w:basedOn w:val="Normal"/>
    <w:uiPriority w:val="99"/>
    <w:semiHidden/>
    <w:unhideWhenUsed/>
    <w:rsid w:val="004E6E2E"/>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customStyle="1" w:styleId="paragraph">
    <w:name w:val="paragraph"/>
    <w:basedOn w:val="Normal"/>
    <w:rsid w:val="00CA140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CA140D"/>
  </w:style>
  <w:style w:type="character" w:customStyle="1" w:styleId="eop">
    <w:name w:val="eop"/>
    <w:basedOn w:val="DefaultParagraphFont"/>
    <w:rsid w:val="00CA140D"/>
  </w:style>
  <w:style w:type="character" w:customStyle="1" w:styleId="wacimagecontainer">
    <w:name w:val="wacimagecontainer"/>
    <w:basedOn w:val="DefaultParagraphFont"/>
    <w:rsid w:val="0071158D"/>
  </w:style>
  <w:style w:type="character" w:customStyle="1" w:styleId="tabchar">
    <w:name w:val="tabchar"/>
    <w:basedOn w:val="DefaultParagraphFont"/>
    <w:rsid w:val="0071158D"/>
  </w:style>
  <w:style w:type="character" w:styleId="Hyperlink">
    <w:name w:val="Hyperlink"/>
    <w:basedOn w:val="DefaultParagraphFont"/>
    <w:uiPriority w:val="99"/>
    <w:unhideWhenUsed/>
    <w:rsid w:val="4C872CE7"/>
    <w:rPr>
      <w:color w:val="467886"/>
      <w:u w:val="single"/>
    </w:rPr>
  </w:style>
  <w:style w:type="character" w:styleId="BookTitle">
    <w:name w:val="Book Title"/>
    <w:basedOn w:val="DefaultParagraphFont"/>
    <w:uiPriority w:val="33"/>
    <w:qFormat/>
    <w:rsid w:val="00F3068E"/>
    <w:rPr>
      <w:b/>
      <w:bCs/>
      <w:i/>
      <w:iCs/>
      <w:spacing w:val="5"/>
    </w:rPr>
  </w:style>
  <w:style w:type="paragraph" w:styleId="Caption">
    <w:name w:val="caption"/>
    <w:basedOn w:val="Normal"/>
    <w:next w:val="Normal"/>
    <w:uiPriority w:val="35"/>
    <w:semiHidden/>
    <w:unhideWhenUsed/>
    <w:qFormat/>
    <w:rsid w:val="00F3068E"/>
    <w:pPr>
      <w:spacing w:after="200" w:line="240" w:lineRule="auto"/>
    </w:pPr>
    <w:rPr>
      <w:i/>
      <w:iCs/>
      <w:color w:val="0E2841" w:themeColor="text2"/>
      <w:sz w:val="18"/>
      <w:szCs w:val="18"/>
    </w:rPr>
  </w:style>
  <w:style w:type="character" w:styleId="Emphasis">
    <w:name w:val="Emphasis"/>
    <w:basedOn w:val="DefaultParagraphFont"/>
    <w:uiPriority w:val="20"/>
    <w:qFormat/>
    <w:rsid w:val="00F3068E"/>
    <w:rPr>
      <w:i/>
      <w:iCs/>
    </w:rPr>
  </w:style>
  <w:style w:type="paragraph" w:styleId="NoSpacing">
    <w:name w:val="No Spacing"/>
    <w:uiPriority w:val="1"/>
    <w:qFormat/>
    <w:rsid w:val="00F3068E"/>
    <w:pPr>
      <w:spacing w:after="0" w:line="240" w:lineRule="auto"/>
    </w:pPr>
    <w:rPr>
      <w:rFonts w:ascii="Calibri" w:eastAsia="Calibri" w:hAnsi="Calibri" w:cs="Calibri"/>
      <w:color w:val="000000"/>
      <w:sz w:val="22"/>
      <w:lang w:eastAsia="en-AU"/>
    </w:rPr>
  </w:style>
  <w:style w:type="character" w:styleId="Strong">
    <w:name w:val="Strong"/>
    <w:basedOn w:val="DefaultParagraphFont"/>
    <w:uiPriority w:val="22"/>
    <w:qFormat/>
    <w:rsid w:val="00F3068E"/>
    <w:rPr>
      <w:b/>
      <w:bCs/>
    </w:rPr>
  </w:style>
  <w:style w:type="character" w:styleId="SubtleEmphasis">
    <w:name w:val="Subtle Emphasis"/>
    <w:basedOn w:val="DefaultParagraphFont"/>
    <w:uiPriority w:val="19"/>
    <w:qFormat/>
    <w:rsid w:val="00F3068E"/>
    <w:rPr>
      <w:i/>
      <w:iCs/>
      <w:color w:val="404040" w:themeColor="text1" w:themeTint="BF"/>
    </w:rPr>
  </w:style>
  <w:style w:type="character" w:styleId="SubtleReference">
    <w:name w:val="Subtle Reference"/>
    <w:basedOn w:val="DefaultParagraphFont"/>
    <w:uiPriority w:val="31"/>
    <w:qFormat/>
    <w:rsid w:val="00F3068E"/>
    <w:rPr>
      <w:smallCaps/>
      <w:color w:val="5A5A5A" w:themeColor="text1" w:themeTint="A5"/>
    </w:rPr>
  </w:style>
  <w:style w:type="paragraph" w:styleId="TOCHeading">
    <w:name w:val="TOC Heading"/>
    <w:basedOn w:val="Heading1"/>
    <w:next w:val="Normal"/>
    <w:uiPriority w:val="39"/>
    <w:semiHidden/>
    <w:unhideWhenUsed/>
    <w:qFormat/>
    <w:rsid w:val="00F3068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2963">
      <w:bodyDiv w:val="1"/>
      <w:marLeft w:val="0"/>
      <w:marRight w:val="0"/>
      <w:marTop w:val="0"/>
      <w:marBottom w:val="0"/>
      <w:divBdr>
        <w:top w:val="none" w:sz="0" w:space="0" w:color="auto"/>
        <w:left w:val="none" w:sz="0" w:space="0" w:color="auto"/>
        <w:bottom w:val="none" w:sz="0" w:space="0" w:color="auto"/>
        <w:right w:val="none" w:sz="0" w:space="0" w:color="auto"/>
      </w:divBdr>
    </w:div>
    <w:div w:id="479082107">
      <w:bodyDiv w:val="1"/>
      <w:marLeft w:val="0"/>
      <w:marRight w:val="0"/>
      <w:marTop w:val="0"/>
      <w:marBottom w:val="0"/>
      <w:divBdr>
        <w:top w:val="none" w:sz="0" w:space="0" w:color="auto"/>
        <w:left w:val="none" w:sz="0" w:space="0" w:color="auto"/>
        <w:bottom w:val="none" w:sz="0" w:space="0" w:color="auto"/>
        <w:right w:val="none" w:sz="0" w:space="0" w:color="auto"/>
      </w:divBdr>
    </w:div>
    <w:div w:id="730083996">
      <w:bodyDiv w:val="1"/>
      <w:marLeft w:val="0"/>
      <w:marRight w:val="0"/>
      <w:marTop w:val="0"/>
      <w:marBottom w:val="0"/>
      <w:divBdr>
        <w:top w:val="none" w:sz="0" w:space="0" w:color="auto"/>
        <w:left w:val="none" w:sz="0" w:space="0" w:color="auto"/>
        <w:bottom w:val="none" w:sz="0" w:space="0" w:color="auto"/>
        <w:right w:val="none" w:sz="0" w:space="0" w:color="auto"/>
      </w:divBdr>
    </w:div>
    <w:div w:id="777650237">
      <w:bodyDiv w:val="1"/>
      <w:marLeft w:val="0"/>
      <w:marRight w:val="0"/>
      <w:marTop w:val="0"/>
      <w:marBottom w:val="0"/>
      <w:divBdr>
        <w:top w:val="none" w:sz="0" w:space="0" w:color="auto"/>
        <w:left w:val="none" w:sz="0" w:space="0" w:color="auto"/>
        <w:bottom w:val="none" w:sz="0" w:space="0" w:color="auto"/>
        <w:right w:val="none" w:sz="0" w:space="0" w:color="auto"/>
      </w:divBdr>
      <w:divsChild>
        <w:div w:id="878853891">
          <w:marLeft w:val="0"/>
          <w:marRight w:val="0"/>
          <w:marTop w:val="0"/>
          <w:marBottom w:val="0"/>
          <w:divBdr>
            <w:top w:val="none" w:sz="0" w:space="0" w:color="auto"/>
            <w:left w:val="none" w:sz="0" w:space="0" w:color="auto"/>
            <w:bottom w:val="none" w:sz="0" w:space="0" w:color="auto"/>
            <w:right w:val="none" w:sz="0" w:space="0" w:color="auto"/>
          </w:divBdr>
        </w:div>
        <w:div w:id="1749764169">
          <w:marLeft w:val="0"/>
          <w:marRight w:val="0"/>
          <w:marTop w:val="0"/>
          <w:marBottom w:val="0"/>
          <w:divBdr>
            <w:top w:val="none" w:sz="0" w:space="0" w:color="auto"/>
            <w:left w:val="none" w:sz="0" w:space="0" w:color="auto"/>
            <w:bottom w:val="none" w:sz="0" w:space="0" w:color="auto"/>
            <w:right w:val="none" w:sz="0" w:space="0" w:color="auto"/>
          </w:divBdr>
        </w:div>
        <w:div w:id="1069888891">
          <w:marLeft w:val="0"/>
          <w:marRight w:val="0"/>
          <w:marTop w:val="0"/>
          <w:marBottom w:val="0"/>
          <w:divBdr>
            <w:top w:val="none" w:sz="0" w:space="0" w:color="auto"/>
            <w:left w:val="none" w:sz="0" w:space="0" w:color="auto"/>
            <w:bottom w:val="none" w:sz="0" w:space="0" w:color="auto"/>
            <w:right w:val="none" w:sz="0" w:space="0" w:color="auto"/>
          </w:divBdr>
        </w:div>
        <w:div w:id="1228765182">
          <w:marLeft w:val="0"/>
          <w:marRight w:val="0"/>
          <w:marTop w:val="0"/>
          <w:marBottom w:val="0"/>
          <w:divBdr>
            <w:top w:val="none" w:sz="0" w:space="0" w:color="auto"/>
            <w:left w:val="none" w:sz="0" w:space="0" w:color="auto"/>
            <w:bottom w:val="none" w:sz="0" w:space="0" w:color="auto"/>
            <w:right w:val="none" w:sz="0" w:space="0" w:color="auto"/>
          </w:divBdr>
        </w:div>
        <w:div w:id="1693728317">
          <w:marLeft w:val="0"/>
          <w:marRight w:val="0"/>
          <w:marTop w:val="0"/>
          <w:marBottom w:val="0"/>
          <w:divBdr>
            <w:top w:val="none" w:sz="0" w:space="0" w:color="auto"/>
            <w:left w:val="none" w:sz="0" w:space="0" w:color="auto"/>
            <w:bottom w:val="none" w:sz="0" w:space="0" w:color="auto"/>
            <w:right w:val="none" w:sz="0" w:space="0" w:color="auto"/>
          </w:divBdr>
        </w:div>
        <w:div w:id="1159930753">
          <w:marLeft w:val="0"/>
          <w:marRight w:val="0"/>
          <w:marTop w:val="0"/>
          <w:marBottom w:val="0"/>
          <w:divBdr>
            <w:top w:val="none" w:sz="0" w:space="0" w:color="auto"/>
            <w:left w:val="none" w:sz="0" w:space="0" w:color="auto"/>
            <w:bottom w:val="none" w:sz="0" w:space="0" w:color="auto"/>
            <w:right w:val="none" w:sz="0" w:space="0" w:color="auto"/>
          </w:divBdr>
        </w:div>
        <w:div w:id="794449004">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
        <w:div w:id="769933305">
          <w:marLeft w:val="0"/>
          <w:marRight w:val="0"/>
          <w:marTop w:val="0"/>
          <w:marBottom w:val="0"/>
          <w:divBdr>
            <w:top w:val="none" w:sz="0" w:space="0" w:color="auto"/>
            <w:left w:val="none" w:sz="0" w:space="0" w:color="auto"/>
            <w:bottom w:val="none" w:sz="0" w:space="0" w:color="auto"/>
            <w:right w:val="none" w:sz="0" w:space="0" w:color="auto"/>
          </w:divBdr>
        </w:div>
        <w:div w:id="1057239422">
          <w:marLeft w:val="0"/>
          <w:marRight w:val="0"/>
          <w:marTop w:val="0"/>
          <w:marBottom w:val="0"/>
          <w:divBdr>
            <w:top w:val="none" w:sz="0" w:space="0" w:color="auto"/>
            <w:left w:val="none" w:sz="0" w:space="0" w:color="auto"/>
            <w:bottom w:val="none" w:sz="0" w:space="0" w:color="auto"/>
            <w:right w:val="none" w:sz="0" w:space="0" w:color="auto"/>
          </w:divBdr>
        </w:div>
        <w:div w:id="1474064022">
          <w:marLeft w:val="0"/>
          <w:marRight w:val="0"/>
          <w:marTop w:val="0"/>
          <w:marBottom w:val="0"/>
          <w:divBdr>
            <w:top w:val="none" w:sz="0" w:space="0" w:color="auto"/>
            <w:left w:val="none" w:sz="0" w:space="0" w:color="auto"/>
            <w:bottom w:val="none" w:sz="0" w:space="0" w:color="auto"/>
            <w:right w:val="none" w:sz="0" w:space="0" w:color="auto"/>
          </w:divBdr>
        </w:div>
        <w:div w:id="1290937220">
          <w:marLeft w:val="0"/>
          <w:marRight w:val="0"/>
          <w:marTop w:val="0"/>
          <w:marBottom w:val="0"/>
          <w:divBdr>
            <w:top w:val="none" w:sz="0" w:space="0" w:color="auto"/>
            <w:left w:val="none" w:sz="0" w:space="0" w:color="auto"/>
            <w:bottom w:val="none" w:sz="0" w:space="0" w:color="auto"/>
            <w:right w:val="none" w:sz="0" w:space="0" w:color="auto"/>
          </w:divBdr>
        </w:div>
        <w:div w:id="377969721">
          <w:marLeft w:val="0"/>
          <w:marRight w:val="0"/>
          <w:marTop w:val="0"/>
          <w:marBottom w:val="0"/>
          <w:divBdr>
            <w:top w:val="none" w:sz="0" w:space="0" w:color="auto"/>
            <w:left w:val="none" w:sz="0" w:space="0" w:color="auto"/>
            <w:bottom w:val="none" w:sz="0" w:space="0" w:color="auto"/>
            <w:right w:val="none" w:sz="0" w:space="0" w:color="auto"/>
          </w:divBdr>
        </w:div>
        <w:div w:id="303046675">
          <w:marLeft w:val="0"/>
          <w:marRight w:val="0"/>
          <w:marTop w:val="0"/>
          <w:marBottom w:val="0"/>
          <w:divBdr>
            <w:top w:val="none" w:sz="0" w:space="0" w:color="auto"/>
            <w:left w:val="none" w:sz="0" w:space="0" w:color="auto"/>
            <w:bottom w:val="none" w:sz="0" w:space="0" w:color="auto"/>
            <w:right w:val="none" w:sz="0" w:space="0" w:color="auto"/>
          </w:divBdr>
        </w:div>
        <w:div w:id="1471441446">
          <w:marLeft w:val="0"/>
          <w:marRight w:val="0"/>
          <w:marTop w:val="0"/>
          <w:marBottom w:val="0"/>
          <w:divBdr>
            <w:top w:val="none" w:sz="0" w:space="0" w:color="auto"/>
            <w:left w:val="none" w:sz="0" w:space="0" w:color="auto"/>
            <w:bottom w:val="none" w:sz="0" w:space="0" w:color="auto"/>
            <w:right w:val="none" w:sz="0" w:space="0" w:color="auto"/>
          </w:divBdr>
        </w:div>
        <w:div w:id="709962277">
          <w:marLeft w:val="0"/>
          <w:marRight w:val="0"/>
          <w:marTop w:val="0"/>
          <w:marBottom w:val="0"/>
          <w:divBdr>
            <w:top w:val="none" w:sz="0" w:space="0" w:color="auto"/>
            <w:left w:val="none" w:sz="0" w:space="0" w:color="auto"/>
            <w:bottom w:val="none" w:sz="0" w:space="0" w:color="auto"/>
            <w:right w:val="none" w:sz="0" w:space="0" w:color="auto"/>
          </w:divBdr>
        </w:div>
        <w:div w:id="792601318">
          <w:marLeft w:val="0"/>
          <w:marRight w:val="0"/>
          <w:marTop w:val="0"/>
          <w:marBottom w:val="0"/>
          <w:divBdr>
            <w:top w:val="none" w:sz="0" w:space="0" w:color="auto"/>
            <w:left w:val="none" w:sz="0" w:space="0" w:color="auto"/>
            <w:bottom w:val="none" w:sz="0" w:space="0" w:color="auto"/>
            <w:right w:val="none" w:sz="0" w:space="0" w:color="auto"/>
          </w:divBdr>
        </w:div>
        <w:div w:id="238712343">
          <w:marLeft w:val="0"/>
          <w:marRight w:val="0"/>
          <w:marTop w:val="0"/>
          <w:marBottom w:val="0"/>
          <w:divBdr>
            <w:top w:val="none" w:sz="0" w:space="0" w:color="auto"/>
            <w:left w:val="none" w:sz="0" w:space="0" w:color="auto"/>
            <w:bottom w:val="none" w:sz="0" w:space="0" w:color="auto"/>
            <w:right w:val="none" w:sz="0" w:space="0" w:color="auto"/>
          </w:divBdr>
        </w:div>
        <w:div w:id="2023967394">
          <w:marLeft w:val="0"/>
          <w:marRight w:val="0"/>
          <w:marTop w:val="0"/>
          <w:marBottom w:val="0"/>
          <w:divBdr>
            <w:top w:val="none" w:sz="0" w:space="0" w:color="auto"/>
            <w:left w:val="none" w:sz="0" w:space="0" w:color="auto"/>
            <w:bottom w:val="none" w:sz="0" w:space="0" w:color="auto"/>
            <w:right w:val="none" w:sz="0" w:space="0" w:color="auto"/>
          </w:divBdr>
        </w:div>
        <w:div w:id="60687382">
          <w:marLeft w:val="0"/>
          <w:marRight w:val="0"/>
          <w:marTop w:val="0"/>
          <w:marBottom w:val="0"/>
          <w:divBdr>
            <w:top w:val="none" w:sz="0" w:space="0" w:color="auto"/>
            <w:left w:val="none" w:sz="0" w:space="0" w:color="auto"/>
            <w:bottom w:val="none" w:sz="0" w:space="0" w:color="auto"/>
            <w:right w:val="none" w:sz="0" w:space="0" w:color="auto"/>
          </w:divBdr>
        </w:div>
        <w:div w:id="960571013">
          <w:marLeft w:val="0"/>
          <w:marRight w:val="0"/>
          <w:marTop w:val="0"/>
          <w:marBottom w:val="0"/>
          <w:divBdr>
            <w:top w:val="none" w:sz="0" w:space="0" w:color="auto"/>
            <w:left w:val="none" w:sz="0" w:space="0" w:color="auto"/>
            <w:bottom w:val="none" w:sz="0" w:space="0" w:color="auto"/>
            <w:right w:val="none" w:sz="0" w:space="0" w:color="auto"/>
          </w:divBdr>
        </w:div>
        <w:div w:id="1532722939">
          <w:marLeft w:val="0"/>
          <w:marRight w:val="0"/>
          <w:marTop w:val="0"/>
          <w:marBottom w:val="0"/>
          <w:divBdr>
            <w:top w:val="none" w:sz="0" w:space="0" w:color="auto"/>
            <w:left w:val="none" w:sz="0" w:space="0" w:color="auto"/>
            <w:bottom w:val="none" w:sz="0" w:space="0" w:color="auto"/>
            <w:right w:val="none" w:sz="0" w:space="0" w:color="auto"/>
          </w:divBdr>
        </w:div>
        <w:div w:id="374431214">
          <w:marLeft w:val="0"/>
          <w:marRight w:val="0"/>
          <w:marTop w:val="0"/>
          <w:marBottom w:val="0"/>
          <w:divBdr>
            <w:top w:val="none" w:sz="0" w:space="0" w:color="auto"/>
            <w:left w:val="none" w:sz="0" w:space="0" w:color="auto"/>
            <w:bottom w:val="none" w:sz="0" w:space="0" w:color="auto"/>
            <w:right w:val="none" w:sz="0" w:space="0" w:color="auto"/>
          </w:divBdr>
        </w:div>
        <w:div w:id="627590322">
          <w:marLeft w:val="0"/>
          <w:marRight w:val="0"/>
          <w:marTop w:val="0"/>
          <w:marBottom w:val="0"/>
          <w:divBdr>
            <w:top w:val="none" w:sz="0" w:space="0" w:color="auto"/>
            <w:left w:val="none" w:sz="0" w:space="0" w:color="auto"/>
            <w:bottom w:val="none" w:sz="0" w:space="0" w:color="auto"/>
            <w:right w:val="none" w:sz="0" w:space="0" w:color="auto"/>
          </w:divBdr>
        </w:div>
        <w:div w:id="1886134931">
          <w:marLeft w:val="0"/>
          <w:marRight w:val="0"/>
          <w:marTop w:val="0"/>
          <w:marBottom w:val="0"/>
          <w:divBdr>
            <w:top w:val="none" w:sz="0" w:space="0" w:color="auto"/>
            <w:left w:val="none" w:sz="0" w:space="0" w:color="auto"/>
            <w:bottom w:val="none" w:sz="0" w:space="0" w:color="auto"/>
            <w:right w:val="none" w:sz="0" w:space="0" w:color="auto"/>
          </w:divBdr>
        </w:div>
        <w:div w:id="6559785">
          <w:marLeft w:val="0"/>
          <w:marRight w:val="0"/>
          <w:marTop w:val="0"/>
          <w:marBottom w:val="0"/>
          <w:divBdr>
            <w:top w:val="none" w:sz="0" w:space="0" w:color="auto"/>
            <w:left w:val="none" w:sz="0" w:space="0" w:color="auto"/>
            <w:bottom w:val="none" w:sz="0" w:space="0" w:color="auto"/>
            <w:right w:val="none" w:sz="0" w:space="0" w:color="auto"/>
          </w:divBdr>
        </w:div>
        <w:div w:id="1867135928">
          <w:marLeft w:val="0"/>
          <w:marRight w:val="0"/>
          <w:marTop w:val="0"/>
          <w:marBottom w:val="0"/>
          <w:divBdr>
            <w:top w:val="none" w:sz="0" w:space="0" w:color="auto"/>
            <w:left w:val="none" w:sz="0" w:space="0" w:color="auto"/>
            <w:bottom w:val="none" w:sz="0" w:space="0" w:color="auto"/>
            <w:right w:val="none" w:sz="0" w:space="0" w:color="auto"/>
          </w:divBdr>
        </w:div>
        <w:div w:id="330181701">
          <w:marLeft w:val="0"/>
          <w:marRight w:val="0"/>
          <w:marTop w:val="0"/>
          <w:marBottom w:val="0"/>
          <w:divBdr>
            <w:top w:val="none" w:sz="0" w:space="0" w:color="auto"/>
            <w:left w:val="none" w:sz="0" w:space="0" w:color="auto"/>
            <w:bottom w:val="none" w:sz="0" w:space="0" w:color="auto"/>
            <w:right w:val="none" w:sz="0" w:space="0" w:color="auto"/>
          </w:divBdr>
        </w:div>
        <w:div w:id="1493911761">
          <w:marLeft w:val="0"/>
          <w:marRight w:val="0"/>
          <w:marTop w:val="0"/>
          <w:marBottom w:val="0"/>
          <w:divBdr>
            <w:top w:val="none" w:sz="0" w:space="0" w:color="auto"/>
            <w:left w:val="none" w:sz="0" w:space="0" w:color="auto"/>
            <w:bottom w:val="none" w:sz="0" w:space="0" w:color="auto"/>
            <w:right w:val="none" w:sz="0" w:space="0" w:color="auto"/>
          </w:divBdr>
        </w:div>
        <w:div w:id="399208249">
          <w:marLeft w:val="0"/>
          <w:marRight w:val="0"/>
          <w:marTop w:val="0"/>
          <w:marBottom w:val="0"/>
          <w:divBdr>
            <w:top w:val="none" w:sz="0" w:space="0" w:color="auto"/>
            <w:left w:val="none" w:sz="0" w:space="0" w:color="auto"/>
            <w:bottom w:val="none" w:sz="0" w:space="0" w:color="auto"/>
            <w:right w:val="none" w:sz="0" w:space="0" w:color="auto"/>
          </w:divBdr>
        </w:div>
        <w:div w:id="81992460">
          <w:marLeft w:val="0"/>
          <w:marRight w:val="0"/>
          <w:marTop w:val="0"/>
          <w:marBottom w:val="0"/>
          <w:divBdr>
            <w:top w:val="none" w:sz="0" w:space="0" w:color="auto"/>
            <w:left w:val="none" w:sz="0" w:space="0" w:color="auto"/>
            <w:bottom w:val="none" w:sz="0" w:space="0" w:color="auto"/>
            <w:right w:val="none" w:sz="0" w:space="0" w:color="auto"/>
          </w:divBdr>
        </w:div>
        <w:div w:id="628973720">
          <w:marLeft w:val="0"/>
          <w:marRight w:val="0"/>
          <w:marTop w:val="0"/>
          <w:marBottom w:val="0"/>
          <w:divBdr>
            <w:top w:val="none" w:sz="0" w:space="0" w:color="auto"/>
            <w:left w:val="none" w:sz="0" w:space="0" w:color="auto"/>
            <w:bottom w:val="none" w:sz="0" w:space="0" w:color="auto"/>
            <w:right w:val="none" w:sz="0" w:space="0" w:color="auto"/>
          </w:divBdr>
        </w:div>
        <w:div w:id="1188254221">
          <w:marLeft w:val="0"/>
          <w:marRight w:val="0"/>
          <w:marTop w:val="0"/>
          <w:marBottom w:val="0"/>
          <w:divBdr>
            <w:top w:val="none" w:sz="0" w:space="0" w:color="auto"/>
            <w:left w:val="none" w:sz="0" w:space="0" w:color="auto"/>
            <w:bottom w:val="none" w:sz="0" w:space="0" w:color="auto"/>
            <w:right w:val="none" w:sz="0" w:space="0" w:color="auto"/>
          </w:divBdr>
        </w:div>
        <w:div w:id="119345884">
          <w:marLeft w:val="0"/>
          <w:marRight w:val="0"/>
          <w:marTop w:val="0"/>
          <w:marBottom w:val="0"/>
          <w:divBdr>
            <w:top w:val="none" w:sz="0" w:space="0" w:color="auto"/>
            <w:left w:val="none" w:sz="0" w:space="0" w:color="auto"/>
            <w:bottom w:val="none" w:sz="0" w:space="0" w:color="auto"/>
            <w:right w:val="none" w:sz="0" w:space="0" w:color="auto"/>
          </w:divBdr>
        </w:div>
        <w:div w:id="275060349">
          <w:marLeft w:val="0"/>
          <w:marRight w:val="0"/>
          <w:marTop w:val="0"/>
          <w:marBottom w:val="0"/>
          <w:divBdr>
            <w:top w:val="none" w:sz="0" w:space="0" w:color="auto"/>
            <w:left w:val="none" w:sz="0" w:space="0" w:color="auto"/>
            <w:bottom w:val="none" w:sz="0" w:space="0" w:color="auto"/>
            <w:right w:val="none" w:sz="0" w:space="0" w:color="auto"/>
          </w:divBdr>
        </w:div>
        <w:div w:id="895705049">
          <w:marLeft w:val="0"/>
          <w:marRight w:val="0"/>
          <w:marTop w:val="0"/>
          <w:marBottom w:val="0"/>
          <w:divBdr>
            <w:top w:val="none" w:sz="0" w:space="0" w:color="auto"/>
            <w:left w:val="none" w:sz="0" w:space="0" w:color="auto"/>
            <w:bottom w:val="none" w:sz="0" w:space="0" w:color="auto"/>
            <w:right w:val="none" w:sz="0" w:space="0" w:color="auto"/>
          </w:divBdr>
        </w:div>
        <w:div w:id="846555696">
          <w:marLeft w:val="0"/>
          <w:marRight w:val="0"/>
          <w:marTop w:val="0"/>
          <w:marBottom w:val="0"/>
          <w:divBdr>
            <w:top w:val="none" w:sz="0" w:space="0" w:color="auto"/>
            <w:left w:val="none" w:sz="0" w:space="0" w:color="auto"/>
            <w:bottom w:val="none" w:sz="0" w:space="0" w:color="auto"/>
            <w:right w:val="none" w:sz="0" w:space="0" w:color="auto"/>
          </w:divBdr>
        </w:div>
        <w:div w:id="751703431">
          <w:marLeft w:val="0"/>
          <w:marRight w:val="0"/>
          <w:marTop w:val="0"/>
          <w:marBottom w:val="0"/>
          <w:divBdr>
            <w:top w:val="none" w:sz="0" w:space="0" w:color="auto"/>
            <w:left w:val="none" w:sz="0" w:space="0" w:color="auto"/>
            <w:bottom w:val="none" w:sz="0" w:space="0" w:color="auto"/>
            <w:right w:val="none" w:sz="0" w:space="0" w:color="auto"/>
          </w:divBdr>
        </w:div>
        <w:div w:id="1472015768">
          <w:marLeft w:val="0"/>
          <w:marRight w:val="0"/>
          <w:marTop w:val="0"/>
          <w:marBottom w:val="0"/>
          <w:divBdr>
            <w:top w:val="none" w:sz="0" w:space="0" w:color="auto"/>
            <w:left w:val="none" w:sz="0" w:space="0" w:color="auto"/>
            <w:bottom w:val="none" w:sz="0" w:space="0" w:color="auto"/>
            <w:right w:val="none" w:sz="0" w:space="0" w:color="auto"/>
          </w:divBdr>
        </w:div>
        <w:div w:id="764570959">
          <w:marLeft w:val="0"/>
          <w:marRight w:val="0"/>
          <w:marTop w:val="0"/>
          <w:marBottom w:val="0"/>
          <w:divBdr>
            <w:top w:val="none" w:sz="0" w:space="0" w:color="auto"/>
            <w:left w:val="none" w:sz="0" w:space="0" w:color="auto"/>
            <w:bottom w:val="none" w:sz="0" w:space="0" w:color="auto"/>
            <w:right w:val="none" w:sz="0" w:space="0" w:color="auto"/>
          </w:divBdr>
        </w:div>
        <w:div w:id="478809547">
          <w:marLeft w:val="0"/>
          <w:marRight w:val="0"/>
          <w:marTop w:val="0"/>
          <w:marBottom w:val="0"/>
          <w:divBdr>
            <w:top w:val="none" w:sz="0" w:space="0" w:color="auto"/>
            <w:left w:val="none" w:sz="0" w:space="0" w:color="auto"/>
            <w:bottom w:val="none" w:sz="0" w:space="0" w:color="auto"/>
            <w:right w:val="none" w:sz="0" w:space="0" w:color="auto"/>
          </w:divBdr>
        </w:div>
        <w:div w:id="1037202237">
          <w:marLeft w:val="0"/>
          <w:marRight w:val="0"/>
          <w:marTop w:val="0"/>
          <w:marBottom w:val="0"/>
          <w:divBdr>
            <w:top w:val="none" w:sz="0" w:space="0" w:color="auto"/>
            <w:left w:val="none" w:sz="0" w:space="0" w:color="auto"/>
            <w:bottom w:val="none" w:sz="0" w:space="0" w:color="auto"/>
            <w:right w:val="none" w:sz="0" w:space="0" w:color="auto"/>
          </w:divBdr>
        </w:div>
        <w:div w:id="504171722">
          <w:marLeft w:val="0"/>
          <w:marRight w:val="0"/>
          <w:marTop w:val="0"/>
          <w:marBottom w:val="0"/>
          <w:divBdr>
            <w:top w:val="none" w:sz="0" w:space="0" w:color="auto"/>
            <w:left w:val="none" w:sz="0" w:space="0" w:color="auto"/>
            <w:bottom w:val="none" w:sz="0" w:space="0" w:color="auto"/>
            <w:right w:val="none" w:sz="0" w:space="0" w:color="auto"/>
          </w:divBdr>
        </w:div>
        <w:div w:id="764810538">
          <w:marLeft w:val="0"/>
          <w:marRight w:val="0"/>
          <w:marTop w:val="0"/>
          <w:marBottom w:val="0"/>
          <w:divBdr>
            <w:top w:val="none" w:sz="0" w:space="0" w:color="auto"/>
            <w:left w:val="none" w:sz="0" w:space="0" w:color="auto"/>
            <w:bottom w:val="none" w:sz="0" w:space="0" w:color="auto"/>
            <w:right w:val="none" w:sz="0" w:space="0" w:color="auto"/>
          </w:divBdr>
        </w:div>
        <w:div w:id="128089471">
          <w:marLeft w:val="0"/>
          <w:marRight w:val="0"/>
          <w:marTop w:val="0"/>
          <w:marBottom w:val="0"/>
          <w:divBdr>
            <w:top w:val="none" w:sz="0" w:space="0" w:color="auto"/>
            <w:left w:val="none" w:sz="0" w:space="0" w:color="auto"/>
            <w:bottom w:val="none" w:sz="0" w:space="0" w:color="auto"/>
            <w:right w:val="none" w:sz="0" w:space="0" w:color="auto"/>
          </w:divBdr>
        </w:div>
        <w:div w:id="193999538">
          <w:marLeft w:val="0"/>
          <w:marRight w:val="0"/>
          <w:marTop w:val="0"/>
          <w:marBottom w:val="0"/>
          <w:divBdr>
            <w:top w:val="none" w:sz="0" w:space="0" w:color="auto"/>
            <w:left w:val="none" w:sz="0" w:space="0" w:color="auto"/>
            <w:bottom w:val="none" w:sz="0" w:space="0" w:color="auto"/>
            <w:right w:val="none" w:sz="0" w:space="0" w:color="auto"/>
          </w:divBdr>
        </w:div>
        <w:div w:id="1716538460">
          <w:marLeft w:val="0"/>
          <w:marRight w:val="0"/>
          <w:marTop w:val="0"/>
          <w:marBottom w:val="0"/>
          <w:divBdr>
            <w:top w:val="none" w:sz="0" w:space="0" w:color="auto"/>
            <w:left w:val="none" w:sz="0" w:space="0" w:color="auto"/>
            <w:bottom w:val="none" w:sz="0" w:space="0" w:color="auto"/>
            <w:right w:val="none" w:sz="0" w:space="0" w:color="auto"/>
          </w:divBdr>
        </w:div>
        <w:div w:id="1960647988">
          <w:marLeft w:val="0"/>
          <w:marRight w:val="0"/>
          <w:marTop w:val="0"/>
          <w:marBottom w:val="0"/>
          <w:divBdr>
            <w:top w:val="none" w:sz="0" w:space="0" w:color="auto"/>
            <w:left w:val="none" w:sz="0" w:space="0" w:color="auto"/>
            <w:bottom w:val="none" w:sz="0" w:space="0" w:color="auto"/>
            <w:right w:val="none" w:sz="0" w:space="0" w:color="auto"/>
          </w:divBdr>
        </w:div>
        <w:div w:id="1714846088">
          <w:marLeft w:val="0"/>
          <w:marRight w:val="0"/>
          <w:marTop w:val="0"/>
          <w:marBottom w:val="0"/>
          <w:divBdr>
            <w:top w:val="none" w:sz="0" w:space="0" w:color="auto"/>
            <w:left w:val="none" w:sz="0" w:space="0" w:color="auto"/>
            <w:bottom w:val="none" w:sz="0" w:space="0" w:color="auto"/>
            <w:right w:val="none" w:sz="0" w:space="0" w:color="auto"/>
          </w:divBdr>
        </w:div>
        <w:div w:id="176893967">
          <w:marLeft w:val="0"/>
          <w:marRight w:val="0"/>
          <w:marTop w:val="0"/>
          <w:marBottom w:val="0"/>
          <w:divBdr>
            <w:top w:val="none" w:sz="0" w:space="0" w:color="auto"/>
            <w:left w:val="none" w:sz="0" w:space="0" w:color="auto"/>
            <w:bottom w:val="none" w:sz="0" w:space="0" w:color="auto"/>
            <w:right w:val="none" w:sz="0" w:space="0" w:color="auto"/>
          </w:divBdr>
        </w:div>
        <w:div w:id="1023703328">
          <w:marLeft w:val="0"/>
          <w:marRight w:val="0"/>
          <w:marTop w:val="0"/>
          <w:marBottom w:val="0"/>
          <w:divBdr>
            <w:top w:val="none" w:sz="0" w:space="0" w:color="auto"/>
            <w:left w:val="none" w:sz="0" w:space="0" w:color="auto"/>
            <w:bottom w:val="none" w:sz="0" w:space="0" w:color="auto"/>
            <w:right w:val="none" w:sz="0" w:space="0" w:color="auto"/>
          </w:divBdr>
        </w:div>
        <w:div w:id="1783186664">
          <w:marLeft w:val="0"/>
          <w:marRight w:val="0"/>
          <w:marTop w:val="0"/>
          <w:marBottom w:val="0"/>
          <w:divBdr>
            <w:top w:val="none" w:sz="0" w:space="0" w:color="auto"/>
            <w:left w:val="none" w:sz="0" w:space="0" w:color="auto"/>
            <w:bottom w:val="none" w:sz="0" w:space="0" w:color="auto"/>
            <w:right w:val="none" w:sz="0" w:space="0" w:color="auto"/>
          </w:divBdr>
        </w:div>
        <w:div w:id="663048531">
          <w:marLeft w:val="0"/>
          <w:marRight w:val="0"/>
          <w:marTop w:val="0"/>
          <w:marBottom w:val="0"/>
          <w:divBdr>
            <w:top w:val="none" w:sz="0" w:space="0" w:color="auto"/>
            <w:left w:val="none" w:sz="0" w:space="0" w:color="auto"/>
            <w:bottom w:val="none" w:sz="0" w:space="0" w:color="auto"/>
            <w:right w:val="none" w:sz="0" w:space="0" w:color="auto"/>
          </w:divBdr>
        </w:div>
        <w:div w:id="185364105">
          <w:marLeft w:val="0"/>
          <w:marRight w:val="0"/>
          <w:marTop w:val="0"/>
          <w:marBottom w:val="0"/>
          <w:divBdr>
            <w:top w:val="none" w:sz="0" w:space="0" w:color="auto"/>
            <w:left w:val="none" w:sz="0" w:space="0" w:color="auto"/>
            <w:bottom w:val="none" w:sz="0" w:space="0" w:color="auto"/>
            <w:right w:val="none" w:sz="0" w:space="0" w:color="auto"/>
          </w:divBdr>
        </w:div>
        <w:div w:id="365524255">
          <w:marLeft w:val="0"/>
          <w:marRight w:val="0"/>
          <w:marTop w:val="0"/>
          <w:marBottom w:val="0"/>
          <w:divBdr>
            <w:top w:val="none" w:sz="0" w:space="0" w:color="auto"/>
            <w:left w:val="none" w:sz="0" w:space="0" w:color="auto"/>
            <w:bottom w:val="none" w:sz="0" w:space="0" w:color="auto"/>
            <w:right w:val="none" w:sz="0" w:space="0" w:color="auto"/>
          </w:divBdr>
        </w:div>
        <w:div w:id="1201746755">
          <w:marLeft w:val="0"/>
          <w:marRight w:val="0"/>
          <w:marTop w:val="0"/>
          <w:marBottom w:val="0"/>
          <w:divBdr>
            <w:top w:val="none" w:sz="0" w:space="0" w:color="auto"/>
            <w:left w:val="none" w:sz="0" w:space="0" w:color="auto"/>
            <w:bottom w:val="none" w:sz="0" w:space="0" w:color="auto"/>
            <w:right w:val="none" w:sz="0" w:space="0" w:color="auto"/>
          </w:divBdr>
        </w:div>
        <w:div w:id="610823468">
          <w:marLeft w:val="0"/>
          <w:marRight w:val="0"/>
          <w:marTop w:val="0"/>
          <w:marBottom w:val="0"/>
          <w:divBdr>
            <w:top w:val="none" w:sz="0" w:space="0" w:color="auto"/>
            <w:left w:val="none" w:sz="0" w:space="0" w:color="auto"/>
            <w:bottom w:val="none" w:sz="0" w:space="0" w:color="auto"/>
            <w:right w:val="none" w:sz="0" w:space="0" w:color="auto"/>
          </w:divBdr>
        </w:div>
        <w:div w:id="180899830">
          <w:marLeft w:val="0"/>
          <w:marRight w:val="0"/>
          <w:marTop w:val="0"/>
          <w:marBottom w:val="0"/>
          <w:divBdr>
            <w:top w:val="none" w:sz="0" w:space="0" w:color="auto"/>
            <w:left w:val="none" w:sz="0" w:space="0" w:color="auto"/>
            <w:bottom w:val="none" w:sz="0" w:space="0" w:color="auto"/>
            <w:right w:val="none" w:sz="0" w:space="0" w:color="auto"/>
          </w:divBdr>
        </w:div>
      </w:divsChild>
    </w:div>
    <w:div w:id="1485121631">
      <w:bodyDiv w:val="1"/>
      <w:marLeft w:val="0"/>
      <w:marRight w:val="0"/>
      <w:marTop w:val="0"/>
      <w:marBottom w:val="0"/>
      <w:divBdr>
        <w:top w:val="none" w:sz="0" w:space="0" w:color="auto"/>
        <w:left w:val="none" w:sz="0" w:space="0" w:color="auto"/>
        <w:bottom w:val="none" w:sz="0" w:space="0" w:color="auto"/>
        <w:right w:val="none" w:sz="0" w:space="0" w:color="auto"/>
      </w:divBdr>
    </w:div>
    <w:div w:id="20535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95584-7F13-4050-8745-41655067A2F4}">
  <ds:schemaRefs>
    <ds:schemaRef ds:uri="http://schemas.microsoft.com/sharepoint/v3/contenttype/forms"/>
  </ds:schemaRefs>
</ds:datastoreItem>
</file>

<file path=customXml/itemProps2.xml><?xml version="1.0" encoding="utf-8"?>
<ds:datastoreItem xmlns:ds="http://schemas.openxmlformats.org/officeDocument/2006/customXml" ds:itemID="{7B9C34EC-09BA-434F-B6C7-ACDB7F5F9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7DE0C3-D6BF-4E30-A61B-D830817DFF27}">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4.xml><?xml version="1.0" encoding="utf-8"?>
<ds:datastoreItem xmlns:ds="http://schemas.openxmlformats.org/officeDocument/2006/customXml" ds:itemID="{CED1A807-428A-458A-9C87-6817A8C41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c:creator>
  <cp:keywords/>
  <dc:description/>
  <cp:lastModifiedBy>Richard Lal</cp:lastModifiedBy>
  <cp:revision>3</cp:revision>
  <dcterms:created xsi:type="dcterms:W3CDTF">2026-09-13T19:42:00Z</dcterms:created>
  <dcterms:modified xsi:type="dcterms:W3CDTF">2026-09-13T20:16:00Z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ies>
</file>